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648a883e0644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2124</w:t>
      </w:r>
    </w:p>
    <w:p>
      <w:pPr>
        <w:jc w:val="center"/>
        <w:spacing w:before="480" w:after="0" w:line="240"/>
      </w:pPr>
      <w:r>
        <w:t xml:space="preserve">Chapter </w:t>
      </w:r>
      <w:r>
        <w:rPr/>
        <w:t xml:space="preserve">283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LEGISLATIVE EMPLOYEE COLLECTIVE BARGAINING</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3 through 9, which take effect May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2124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4:50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2124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Riccelli, Sullivan, Frame, Ramel, Chapman, Ryu, Paul, Simmons, Stonier, Bergquist, Wicks, Valdez, Gregerson, Santos, Ramos, J. Johnson, Walen, Tharinger, Bateman, Callan, Thai, Taylor, Leavitt, Senn, Wylie, Macri, Ormsby, Pollet, Morgan, Bronoske, Kloba, Davis, Slatter, Berg, Lekanoff, Entenman, Ortiz-Self, Duerr, Peterson, Harris-Talley, Cody, Hackney, Chopp, Orwall, and Rule)</w:t>
      </w:r>
    </w:p>
    <w:p/>
    <w:p>
      <w:r>
        <w:rPr>
          <w:t xml:space="preserve">READ FIRST TIME 02/28/22.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collective bargaining to legislative employees by creating the office of state legislative labor relations that will consider issues of the subjects of bargaining, the employees for whom collective bargaining would be appropriate, who would provide negotiation services, which entities would be considered the employer, definitions of relevant terms, coalition bargaining, grievance procedures, procedures for disciplinary actions, procedures related to certifying exclusive bargaining representatives, determining bargaining units, adjudicating unfair labor practices, and determining representation questions, procedures for approving negotiated collective bargaining agreements, procedures for submitting requests for funding, and considering approaches taken by other state legislatures, and specifying unfair labor practices, but without mandating what the collective bargaining agreement must provide regarding wages, hours, working conditions, or other provisions related to conditions of employment; adding a new chapter to Title 44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the office of state legislative labor relations for the purposes of considering and managing the unique issues raised by legislative collective bargaining. By examining issues set forth in section 2 of this act, the office will provide the legislature with a fuller understanding of how the legislature as an employer can best implement legislation for collective bargaining for legislative employees, which would be administered by the public employment relations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conducting negotiations on behalf of the employer.</w:t>
      </w:r>
    </w:p>
    <w:p>
      <w:pPr>
        <w:spacing w:before="0" w:after="0" w:line="408" w:lineRule="exact"/>
        <w:ind w:left="0" w:right="0" w:firstLine="576"/>
        <w:jc w:val="left"/>
      </w:pPr>
      <w:r>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t xml:space="preserve">(ii) Mandatory, permissive, and prohibited subjects of bargaining;</w:t>
      </w:r>
    </w:p>
    <w:p>
      <w:pPr>
        <w:spacing w:before="0" w:after="0" w:line="408" w:lineRule="exact"/>
        <w:ind w:left="0" w:right="0" w:firstLine="576"/>
        <w:jc w:val="left"/>
      </w:pPr>
      <w:r>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t xml:space="preserve">(iv) Definitions for relevant terms;</w:t>
      </w:r>
    </w:p>
    <w:p>
      <w:pPr>
        <w:spacing w:before="0" w:after="0" w:line="408" w:lineRule="exact"/>
        <w:ind w:left="0" w:right="0" w:firstLine="576"/>
        <w:jc w:val="left"/>
      </w:pPr>
      <w:r>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t xml:space="preserve">(vii) The efficiency and feasibility of coalition bargaining;</w:t>
      </w:r>
    </w:p>
    <w:p>
      <w:pPr>
        <w:spacing w:before="0" w:after="0" w:line="408" w:lineRule="exact"/>
        <w:ind w:left="0" w:right="0" w:firstLine="576"/>
        <w:jc w:val="left"/>
      </w:pPr>
      <w:r>
        <w:rPr/>
        <w:t xml:space="preserve">(viii) Procedures for approving negotiated collective bargaining agreements;</w:t>
      </w:r>
    </w:p>
    <w:p>
      <w:pPr>
        <w:spacing w:before="0" w:after="0" w:line="408" w:lineRule="exact"/>
        <w:ind w:left="0" w:right="0" w:firstLine="576"/>
        <w:jc w:val="left"/>
      </w:pPr>
      <w:r>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t xml:space="preserve">(x) Approaches taken by other state legislatures that have authorized collective bargaining for legislative employees.</w:t>
      </w:r>
    </w:p>
    <w:p>
      <w:pPr>
        <w:spacing w:before="0" w:after="0" w:line="408" w:lineRule="exact"/>
        <w:ind w:left="0" w:right="0" w:firstLine="576"/>
        <w:jc w:val="left"/>
      </w:pPr>
      <w:r>
        <w:rPr/>
        <w:t xml:space="preserve">(5) The report must include a summary of any statutory changes needed to address the considerations listed in subsection (4) of this section related to the collective bargaining process for legislative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public employment relations commission.</w:t>
      </w:r>
    </w:p>
    <w:p>
      <w:pPr>
        <w:spacing w:before="0" w:after="0" w:line="408" w:lineRule="exact"/>
        <w:ind w:left="0" w:right="0" w:firstLine="576"/>
        <w:jc w:val="left"/>
      </w:pPr>
      <w:r>
        <w:rPr/>
        <w:t xml:space="preserve">(2) "Director" means the director of the office of state legislative labor relations.</w:t>
      </w:r>
    </w:p>
    <w:p>
      <w:pPr>
        <w:spacing w:before="0" w:after="0" w:line="408" w:lineRule="exact"/>
        <w:ind w:left="0" w:right="0" w:firstLine="576"/>
        <w:jc w:val="left"/>
      </w:pPr>
      <w:r>
        <w:rPr/>
        <w:t xml:space="preserve">(3)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(4)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(5)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rPr/>
        <w:t xml:space="preserve">(6) "Office" means the office of state legislative labor relations.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Collective bargaining negotiations under this chapter shall commence no earlier than May 1, 2024. No collective bargaining agreement entered into under this chapter may take effect prior to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by mail ballot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 legislative session or committee assembly days, nothing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rPr/>
        <w:t xml:space="preserve">(3)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rPr/>
        <w:t xml:space="preserve">(b) The employer's budget and the size of the employer's workforce, including determining the financial basis for layoffs;</w:t>
      </w:r>
    </w:p>
    <w:p>
      <w:pPr>
        <w:spacing w:before="0" w:after="0" w:line="408" w:lineRule="exact"/>
        <w:ind w:left="0" w:right="0" w:firstLine="576"/>
        <w:jc w:val="left"/>
      </w:pPr>
      <w:r>
        <w:rPr/>
        <w:t xml:space="preserve">(c) The right to direct and supervise employees;</w:t>
      </w:r>
    </w:p>
    <w:p>
      <w:pPr>
        <w:spacing w:before="0" w:after="0" w:line="408" w:lineRule="exact"/>
        <w:ind w:left="0" w:right="0" w:firstLine="576"/>
        <w:jc w:val="left"/>
      </w:pPr>
      <w:r>
        <w:rPr/>
        <w:t xml:space="preserve">(d) The hours of work during legislative session and the cutoff calendar for a legislative session; and</w:t>
      </w:r>
    </w:p>
    <w:p>
      <w:pPr>
        <w:spacing w:before="0" w:after="0" w:line="408" w:lineRule="exact"/>
        <w:ind w:left="0" w:right="0" w:firstLine="576"/>
        <w:jc w:val="left"/>
      </w:pPr>
      <w:r>
        <w:rPr/>
        <w:t xml:space="preserve">(e) Retirement plans and retirement benefits.</w:t>
      </w:r>
    </w:p>
    <w:p>
      <w:pPr>
        <w:spacing w:before="0" w:after="0" w:line="408" w:lineRule="exact"/>
        <w:ind w:left="0" w:right="0" w:firstLine="576"/>
        <w:jc w:val="left"/>
      </w:pPr>
      <w:r>
        <w:rPr/>
        <w:t xml:space="preserve">(2)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of this act constitute a new chapter in </w:t>
      </w:r>
      <w:r>
        <w:rPr/>
        <w:t xml:space="preserve">Title </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of this act take effect May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057b6a7e9b4f4ed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6caca95ac440ea" /><Relationship Type="http://schemas.openxmlformats.org/officeDocument/2006/relationships/footer" Target="/word/footer1.xml" Id="R057b6a7e9b4f4ede" /></Relationships>
</file>