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45a6c1c69c4d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1982</w:t>
      </w:r>
    </w:p>
    <w:p>
      <w:pPr>
        <w:jc w:val="center"/>
        <w:spacing w:before="480" w:after="0" w:line="240"/>
      </w:pPr>
      <w:r>
        <w:t xml:space="preserve">Chapter </w:t>
      </w:r>
      <w:r>
        <w:rPr/>
        <w:t xml:space="preserve">143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PERSONAL PROPERTY TAXES—PENALTIES AND INTEREST</w:t>
      </w:r>
    </w:p>
    <w:p>
      <w:pPr>
        <w:spacing w:before="720" w:after="240" w:line="240" w:lineRule="exact"/>
        <w:ind w:left="0" w:right="0" w:firstLine="0"/>
        <w:jc w:val="center"/>
      </w:pPr>
      <w:r>
        <w:t xml:space="preserve">EFFECTIVE DATE: </w:t>
      </w:r>
      <w:r>
        <w:rPr/>
        <w:t xml:space="preserve">March 24,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1982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1982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Volz, Caldier, Wylie, and Graham</w:t>
      </w:r>
    </w:p>
    <w:p/>
    <w:p>
      <w:r>
        <w:rPr>
          <w:t xml:space="preserve">Read first time 01/13/22.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applicability of penalty and interest on personal property taxes; reenacting and amending RCW 84.56.020;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2021 c 257 s 1, 2021 c 122 s 15, and 2021 c 42 s 3 are each reenacted and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in accordance with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personal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(5)(a) Except as provided in (c) of this subsection, delinquent taxes under this section are subject to interest as provided in this subsection computed on a monthly basis on the amount of tax delinquent from the date of delinquency until paid. Interest must be calculated at the rate </w:t>
      </w:r>
      <w:r>
        <w:t>((</w:t>
      </w:r>
      <w:r>
        <w:rPr>
          <w:strike/>
        </w:rPr>
        <w:t xml:space="preserve">in effect at the time of the tax payment, regardless of when the taxes were first delinquent</w:t>
      </w:r>
      <w:r>
        <w:t>))</w:t>
      </w:r>
      <w:r>
        <w:rPr/>
        <w:t xml:space="preserve"> </w:t>
      </w:r>
      <w:r>
        <w:rPr>
          <w:u w:val="single"/>
        </w:rPr>
        <w:t xml:space="preserve">as described below</w:t>
      </w:r>
      <w:r>
        <w:rPr/>
        <w:t xml:space="preserve">.</w:t>
      </w:r>
    </w:p>
    <w:p>
      <w:pPr>
        <w:spacing w:before="0" w:after="0" w:line="408" w:lineRule="exact"/>
        <w:ind w:left="0" w:right="0" w:firstLine="576"/>
        <w:jc w:val="left"/>
      </w:pPr>
      <w:r>
        <w:rPr/>
        <w:t xml:space="preserve">(i) Until December 31, 2022, the interest rate is 12 percent per annum for all nonresidential real property </w:t>
      </w:r>
      <w:r>
        <w:t>((</w:t>
      </w:r>
      <w:r>
        <w:rPr>
          <w:strike/>
        </w:rPr>
        <w:t xml:space="preserve">and</w:t>
      </w:r>
      <w:r>
        <w:t>))</w:t>
      </w:r>
      <w:r>
        <w:rPr>
          <w:u w:val="single"/>
        </w:rPr>
        <w:t xml:space="preserve">,</w:t>
      </w:r>
      <w:r>
        <w:rPr/>
        <w:t xml:space="preserve"> residential real property</w:t>
      </w:r>
      <w:r>
        <w:rPr>
          <w:u w:val="single"/>
        </w:rPr>
        <w:t xml:space="preserve">, and personal property</w:t>
      </w:r>
      <w:r>
        <w:rPr/>
        <w:t xml:space="preserve">.</w:t>
      </w:r>
    </w:p>
    <w:p>
      <w:pPr>
        <w:spacing w:before="0" w:after="0" w:line="408" w:lineRule="exact"/>
        <w:ind w:left="0" w:right="0" w:firstLine="576"/>
        <w:jc w:val="left"/>
      </w:pPr>
      <w:r>
        <w:rPr/>
        <w:t xml:space="preserve">(ii) Beginning January 1, 2023, interest rates are as follows:</w:t>
      </w:r>
    </w:p>
    <w:p>
      <w:pPr>
        <w:spacing w:before="0" w:after="0" w:line="408" w:lineRule="exact"/>
        <w:ind w:left="0" w:right="0" w:firstLine="576"/>
        <w:jc w:val="left"/>
      </w:pPr>
      <w:r>
        <w:rPr/>
        <w:t xml:space="preserve">(A) </w:t>
      </w:r>
      <w:r>
        <w:t>((</w:t>
      </w:r>
      <w:r>
        <w:rPr>
          <w:strike/>
        </w:rPr>
        <w:t xml:space="preserve">Twelve percent per annum for all nonresidential real property and for residential real property with greater than four units per taxable parcel; or</w:t>
      </w:r>
    </w:p>
    <w:p>
      <w:pPr>
        <w:spacing w:before="0" w:after="0" w:line="408" w:lineRule="exact"/>
        <w:ind w:left="0" w:right="0" w:firstLine="576"/>
        <w:jc w:val="left"/>
      </w:pPr>
      <w:r>
        <w:rPr>
          <w:strike/>
        </w:rPr>
        <w:t xml:space="preserve">(B)</w:t>
      </w:r>
      <w:r>
        <w:t>))</w:t>
      </w:r>
      <w:r>
        <w:rPr/>
        <w:t xml:space="preserve"> Nine percent per annum for all residential real property with four or fewer units per taxable parcel, including manufactured/mobile homes as defined in RCW 59.20.030 </w:t>
      </w:r>
      <w:r>
        <w:rPr>
          <w:u w:val="single"/>
        </w:rPr>
        <w:t xml:space="preserve">for taxes levied in 2023 or after; or</w:t>
      </w:r>
    </w:p>
    <w:p>
      <w:pPr>
        <w:spacing w:before="0" w:after="0" w:line="408" w:lineRule="exact"/>
        <w:ind w:left="0" w:right="0" w:firstLine="576"/>
        <w:jc w:val="left"/>
      </w:pPr>
      <w:r>
        <w:rPr>
          <w:u w:val="single"/>
        </w:rPr>
        <w:t xml:space="preserve">(B) Twelve percent per annum for all other property</w:t>
      </w:r>
      <w:r>
        <w:rPr/>
        <w:t xml:space="preserve">.</w:t>
      </w:r>
    </w:p>
    <w:p>
      <w:pPr>
        <w:spacing w:before="0" w:after="0" w:line="408" w:lineRule="exact"/>
        <w:ind w:left="0" w:right="0" w:firstLine="576"/>
        <w:jc w:val="left"/>
      </w:pPr>
      <w:r>
        <w:rPr/>
        <w:t xml:space="preserve">(b)(i) Penalties on delinquent taxes under this section may not be assessed beginning January 1, 2022, and through December 31, 2022.</w:t>
      </w:r>
    </w:p>
    <w:p>
      <w:pPr>
        <w:spacing w:before="0" w:after="0" w:line="408" w:lineRule="exact"/>
        <w:ind w:left="0" w:right="0" w:firstLine="576"/>
        <w:jc w:val="left"/>
      </w:pPr>
      <w:r>
        <w:rPr/>
        <w:t xml:space="preserve">(ii) Beginning January 1, 2023, delinquent taxes under this section are subject to penalties for nonresidential real property </w:t>
      </w:r>
      <w:r>
        <w:t>((</w:t>
      </w:r>
      <w:r>
        <w:rPr>
          <w:strike/>
        </w:rPr>
        <w:t xml:space="preserve">and for</w:t>
      </w:r>
      <w:r>
        <w:t>))</w:t>
      </w:r>
      <w:r>
        <w:rPr>
          <w:u w:val="single"/>
        </w:rPr>
        <w:t xml:space="preserve">,</w:t>
      </w:r>
      <w:r>
        <w:rPr/>
        <w:t xml:space="preserve"> residential real property with greater than four units per taxable parcel</w:t>
      </w:r>
      <w:r>
        <w:rPr>
          <w:u w:val="single"/>
        </w:rPr>
        <w:t xml:space="preserve">, and for personal property</w:t>
      </w:r>
      <w:r>
        <w:rPr/>
        <w:t xml:space="preserve">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(iii) Penalties may not be assessed on residential real property with four or fewer units per taxable parcel, including manufactured/mobile homes as defined in RCW 59.20.030.</w:t>
      </w:r>
    </w:p>
    <w:p>
      <w:pPr>
        <w:spacing w:before="0" w:after="0" w:line="408" w:lineRule="exact"/>
        <w:ind w:left="0" w:right="0" w:firstLine="576"/>
        <w:jc w:val="left"/>
      </w:pPr>
      <w:r>
        <w:rPr/>
        <w:t xml:space="preserve">(c)(i)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(ii) The following remain due and payable as provided in any payment agreement:</w:t>
      </w:r>
    </w:p>
    <w:p>
      <w:pPr>
        <w:spacing w:before="0" w:after="0" w:line="408" w:lineRule="exact"/>
        <w:ind w:left="0" w:right="0" w:firstLine="576"/>
        <w:jc w:val="left"/>
      </w:pPr>
      <w:r>
        <w:rPr/>
        <w:t xml:space="preserve">(A) Interest that has been assessed prior to the payment agreement; and</w:t>
      </w:r>
    </w:p>
    <w:p>
      <w:pPr>
        <w:spacing w:before="0" w:after="0" w:line="408" w:lineRule="exact"/>
        <w:ind w:left="0" w:right="0" w:firstLine="576"/>
        <w:jc w:val="left"/>
      </w:pPr>
      <w:r>
        <w:rPr/>
        <w:t xml:space="preserve">(B) Penalties assessed prior to January 1, 2022,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07e733dc78644b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bb6553aac74cee" /><Relationship Type="http://schemas.openxmlformats.org/officeDocument/2006/relationships/footer" Target="/word/footer1.xml" Id="R07e733dc78644bd1" /></Relationships>
</file>