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6a224b178c4e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1860</w:t>
      </w:r>
    </w:p>
    <w:p>
      <w:pPr>
        <w:jc w:val="center"/>
        <w:spacing w:before="480" w:after="0" w:line="240"/>
      </w:pPr>
      <w:r>
        <w:t xml:space="preserve">Chapter </w:t>
      </w:r>
      <w:r>
        <w:rPr/>
        <w:t xml:space="preserve">215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INPATIENT BEHAVIORAL HEALTH DISCHARGE—HOMELESSNESS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90</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1860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1860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Davis, Eslick, Callan, Jacobsen, Macri, Santos, Shewmake, Orwall, Tharinger, Simmons, Chopp, Bergquist, and Valdez)</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homelessness among persons discharging from inpatient behavioral health settings; amending RCW 70.320.020; adding a new section to chapter 71.24 RCW; adding a new section to chapter 71.12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social determinants of health, particularly housing, are highly correlated with long-term recovery from behavioral health conditions. Seeking inpatient treatment for a mental health or substance use challenge is an act of valor. Upon discharge from care, these individuals deserve a safe, stable place from which to launch their recovery. It is far easier and more cost-effective to help maintain a person's recovery after treatment than to discharge them into homelessness and begin the process anew amid another crisis. Sometimes, there may not be another chance.</w:t>
      </w:r>
    </w:p>
    <w:p>
      <w:pPr>
        <w:spacing w:before="0" w:after="0" w:line="408" w:lineRule="exact"/>
        <w:ind w:left="0" w:right="0" w:firstLine="576"/>
        <w:jc w:val="left"/>
      </w:pPr>
      <w:r>
        <w:rPr/>
        <w:t xml:space="preserve">(2) Therefore, it is the intent of the legislature to seize the incredible opportunity presented by a person seeking inpatient behavioral health care by ensuring that these courageous individuals are discharged to appropriate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2021 c 267 s 2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has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t xml:space="preserve">(6)(a) The performance measures coordinating committee must establish: (i) A performance measure to be integrated into the statewide common measure set which tracks effective integration practices of behavioral health services in primary care settings; </w:t>
      </w:r>
      <w:r>
        <w:t>((</w:t>
      </w:r>
      <w:r>
        <w:rPr>
          <w:strike/>
        </w:rPr>
        <w:t xml:space="preserve">and</w:t>
      </w:r>
      <w:r>
        <w:t>))</w:t>
      </w:r>
      <w:r>
        <w:rPr/>
        <w:t xml:space="preserve"> (ii) performance measures which track rates of criminal justice system involvement among </w:t>
      </w:r>
      <w:r>
        <w:t>((</w:t>
      </w:r>
      <w:r>
        <w:rPr>
          <w:strike/>
        </w:rPr>
        <w:t xml:space="preserve">public health system</w:t>
      </w:r>
      <w:r>
        <w:t>))</w:t>
      </w:r>
      <w:r>
        <w:rPr/>
        <w:t xml:space="preserve"> </w:t>
      </w:r>
      <w:r>
        <w:rPr>
          <w:u w:val="single"/>
        </w:rPr>
        <w:t xml:space="preserve">medical assistance</w:t>
      </w:r>
      <w:r>
        <w:rPr/>
        <w:t xml:space="preserve"> clients with an identified behavioral health need including, but not limited to, rates of arrest and incarceration</w:t>
      </w:r>
      <w:r>
        <w:rPr>
          <w:u w:val="single"/>
        </w:rPr>
        <w:t xml:space="preserve">; and (iii) performance measures which track rates of homelessness and housing instability among medical assistance clients</w:t>
      </w:r>
      <w:r>
        <w:rPr/>
        <w:t xml:space="preserve">. The authority must set improvement targets related to these measures.</w:t>
      </w:r>
    </w:p>
    <w:p>
      <w:pPr>
        <w:spacing w:before="0" w:after="0" w:line="408" w:lineRule="exact"/>
        <w:ind w:left="0" w:right="0" w:firstLine="576"/>
        <w:jc w:val="left"/>
      </w:pPr>
      <w:r>
        <w:rPr/>
        <w:t xml:space="preserve">(b) The performance measures coordinating committee must report to the governor and appropriate committees of the legislature regarding the implementation of this subsection by July 1, 2022.</w:t>
      </w:r>
    </w:p>
    <w:p>
      <w:pPr>
        <w:spacing w:before="0" w:after="0" w:line="408" w:lineRule="exact"/>
        <w:ind w:left="0" w:right="0" w:firstLine="576"/>
        <w:jc w:val="left"/>
      </w:pPr>
      <w:r>
        <w:rPr/>
        <w:t xml:space="preserve">(c) For purposes of establishing performance measures as specified in (a)(ii) of this subsection, the performance measures coordinating committee shall convene a work group of stakeholders including the authority, medicaid managed care organizations, the department of corrections, and others with expertise in criminal justice and behavioral health. The work group shall review current performance measures that have been adopted in other states or nationally to inform this effort.</w:t>
      </w:r>
    </w:p>
    <w:p>
      <w:pPr>
        <w:spacing w:before="0" w:after="0" w:line="408" w:lineRule="exact"/>
        <w:ind w:left="0" w:right="0" w:firstLine="576"/>
        <w:jc w:val="left"/>
      </w:pPr>
      <w:r>
        <w:rPr>
          <w:u w:val="single"/>
        </w:rPr>
        <w:t xml:space="preserve">(d) For purposes of establishing performance measures as specified in (a)(iii) of this subsection, the performance measures coordinating committee shall convene a work group of stakeholders including the authority, medicaid managed care organizations, and others with expertise in housing for low-income populations and with experience understanding the impacts of homelessness and housing instability on health. The work group shall review current performance measures that have been adopted in other states or nationally from organizations with experience in similar measures to inform this effort.</w:t>
      </w:r>
    </w:p>
    <w:p>
      <w:pPr>
        <w:spacing w:before="0" w:after="0" w:line="408" w:lineRule="exact"/>
        <w:ind w:left="0" w:right="0" w:firstLine="576"/>
        <w:jc w:val="left"/>
      </w:pPr>
      <w:r>
        <w:rPr/>
        <w:t xml:space="preserve">(7) The authority must report to the governor and appropriate committees of the legislature </w:t>
      </w:r>
      <w:r>
        <w:t>((</w:t>
      </w:r>
      <w:r>
        <w:rPr>
          <w:strike/>
        </w:rPr>
        <w:t xml:space="preserve">by</w:t>
      </w:r>
      <w:r>
        <w:t>))</w:t>
      </w:r>
      <w:r>
        <w:rPr>
          <w:u w:val="single"/>
        </w:rPr>
        <w:t xml:space="preserve">:</w:t>
      </w:r>
    </w:p>
    <w:p>
      <w:pPr>
        <w:spacing w:before="0" w:after="0" w:line="408" w:lineRule="exact"/>
        <w:ind w:left="0" w:right="0" w:firstLine="576"/>
        <w:jc w:val="left"/>
      </w:pPr>
      <w:r>
        <w:rPr>
          <w:u w:val="single"/>
        </w:rPr>
        <w:t xml:space="preserve">(a) By</w:t>
      </w:r>
      <w:r>
        <w:rPr/>
        <w:t xml:space="preserve"> October 1, 2022, regarding options and recommendations for integrating value-based purchasing terms and a performance improvement project into managed health care contracts relating to the criminal justice outcomes specified under subsection (1) of this section</w:t>
      </w:r>
      <w:r>
        <w:rPr>
          <w:u w:val="single"/>
        </w:rPr>
        <w:t xml:space="preserve">;</w:t>
      </w:r>
    </w:p>
    <w:p>
      <w:pPr>
        <w:spacing w:before="0" w:after="0" w:line="408" w:lineRule="exact"/>
        <w:ind w:left="0" w:right="0" w:firstLine="576"/>
        <w:jc w:val="left"/>
      </w:pPr>
      <w:r>
        <w:rPr>
          <w:u w:val="single"/>
        </w:rPr>
        <w:t xml:space="preserve">(b) By July 1, 2024, regarding options and recommendations for integrating value-based purchasing terms and to integrate a collective performance improvement project into managed health care contracts related to increasing stable housing in the community outcomes specified under subsection (1) of this section. The authority shall review the performance measures and information from the work group established in subsection (6)(d)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January 1, 2023, the authority shall require that any contract with a managed care organization include a requirement to provide housing-related care coordination services for enrollees who need such services upon being discharged from inpatient behavioral health settings as allowed by the centers for medicare and medicaid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With respect to a person enrolled in medical assistance under chapter 74.09 RCW, a psychiatric hospital shall make every effort to:</w:t>
      </w:r>
    </w:p>
    <w:p>
      <w:pPr>
        <w:spacing w:before="0" w:after="0" w:line="408" w:lineRule="exact"/>
        <w:ind w:left="0" w:right="0" w:firstLine="576"/>
        <w:jc w:val="left"/>
      </w:pPr>
      <w:r>
        <w:rPr/>
        <w:t xml:space="preserve">(1) Inform the medicaid managed care organization in which the person is enrolled of the person's discharge or change in care plan on the following timelines:</w:t>
      </w:r>
    </w:p>
    <w:p>
      <w:pPr>
        <w:spacing w:before="0" w:after="0" w:line="408" w:lineRule="exact"/>
        <w:ind w:left="0" w:right="0" w:firstLine="576"/>
        <w:jc w:val="left"/>
      </w:pPr>
      <w:r>
        <w:rPr/>
        <w:t xml:space="preserve">(a) For an anticipated discharge, no later than 24 hours prior to the known discharge date; or</w:t>
      </w:r>
    </w:p>
    <w:p>
      <w:pPr>
        <w:spacing w:before="0" w:after="0" w:line="408" w:lineRule="exact"/>
        <w:ind w:left="0" w:right="0" w:firstLine="576"/>
        <w:jc w:val="left"/>
      </w:pPr>
      <w:r>
        <w:rPr/>
        <w:t xml:space="preserve">(b) For all other discharges, including if the person leaves against medical advice, no later than the date of discharge or departure from the facility; and</w:t>
      </w:r>
    </w:p>
    <w:p>
      <w:pPr>
        <w:spacing w:before="0" w:after="0" w:line="408" w:lineRule="exact"/>
        <w:ind w:left="0" w:right="0" w:firstLine="576"/>
        <w:jc w:val="left"/>
      </w:pPr>
      <w:r>
        <w:rPr/>
        <w:t xml:space="preserve">(2) Engage with medicaid managed care organizations in discharge planning, which includes informing and connecting patients to care management resources at the appropriate managed care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improve health outcomes and address health inequities, the authority shall evaluate incentive approaches and recommend funding options to increase the collection of Z codes on individual medicaid claims, in accordance with standard billing guidance and regulations.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bc8c8f70e2e94d5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4ac0fe6c54502" /><Relationship Type="http://schemas.openxmlformats.org/officeDocument/2006/relationships/footer" Target="/word/footer1.xml" Id="Rbc8c8f70e2e94d50" /></Relationships>
</file>