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b03820b324a0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1765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73</w:t>
      </w:r>
      <w:r>
        <w:t xml:space="preserve">, Laws of 2022</w:t>
      </w:r>
    </w:p>
    <w:p>
      <w:pPr>
        <w:jc w:val="center"/>
        <w:spacing w:before="360" w:after="0" w:line="240"/>
      </w:pPr>
      <w:r>
        <w:t>67th Legislature</w:t>
      </w:r>
    </w:p>
    <w:p>
      <w:pPr>
        <w:jc w:val="center"/>
      </w:pPr>
      <w:r>
        <w:t>2022 Regular Session</w:t>
      </w:r>
    </w:p>
    <w:p>
      <w:pPr>
        <w:jc w:val="center"/>
        <w:spacing w:before="480" w:after="0" w:line="240"/>
      </w:pPr>
      <w:r>
        <w:rPr/>
        <w:t xml:space="preserve">HEALTH BENEFIT EXCHANGE—BUSINESS AND OCCUPATION TAX EXEMPTION—EXPIRATION DATE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9, 2022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95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4,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1765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17, 2022 12:35 PM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17, 2022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1765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2022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Representatives Chopp, Cody, Macri, Ryu, Simmons, Wylie, Tharinger, Valdez, Pollet, Fitzgibbon, Chapman, Ortiz-Self, Stonier, Goodman, Riccelli, Davis, Taylor, and Kloba; by request of Office of Financial Management</w:t>
      </w:r>
    </w:p>
    <w:p/>
    <w:p>
      <w:r>
        <w:rPr>
          <w:t xml:space="preserve">Prefiled 01/04/22.</w:t>
        </w:rPr>
      </w:r>
      <w:r>
        <w:rPr>
          <w:t xml:space="preserve">Read first time 01/10/22.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ensuring the ongoing sustainability and vitality of the Washington health benefit exchange by eliminating the expiration date of its business and occupation tax exemption; and amending RCW 82.04.323.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323</w:t>
      </w:r>
      <w:r>
        <w:rPr/>
        <w:t xml:space="preserve"> and 2013 2nd sp.s. c 6 s 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(1)</w:t>
      </w:r>
      <w:r>
        <w:t>))</w:t>
      </w:r>
      <w:r>
        <w:rPr/>
        <w:t xml:space="preserve"> The taxes imposed by this chapter do not apply to amounts received by the Washington health benefit exchange established under chapter 43.71 RCW.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(2) This section expires July 1, 2023.</w:t>
      </w:r>
      <w:r>
        <w:t>))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2, 2022.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March 4, 2022.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17, 2022.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17, 2022.</w:t>
      </w:r>
    </w:p>
    <w:sectPr>
      <w:pgNumType w:start="1"/>
      <w:footerReference xmlns:r="http://schemas.openxmlformats.org/officeDocument/2006/relationships" r:id="R3538485d1f574d23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1765.SL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49158cf4b49df" /><Relationship Type="http://schemas.openxmlformats.org/officeDocument/2006/relationships/footer" Target="/word/footer1.xml" Id="R3538485d1f574d23" /></Relationships>
</file>