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87d940510f4c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1717</w:t>
      </w:r>
    </w:p>
    <w:p>
      <w:pPr>
        <w:jc w:val="center"/>
        <w:spacing w:before="480" w:after="0" w:line="240"/>
      </w:pPr>
      <w:r>
        <w:t xml:space="preserve">Chapter </w:t>
      </w:r>
      <w:r>
        <w:rPr/>
        <w:t xml:space="preserve">252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GROWTH MANAGEMENT ACT PLANNING—TRIBAL PARTICIPATION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11, 2022</w:t>
            </w:r>
          </w:p>
          <w:p>
            <w:pPr>
              <w:ind w:left="0" w:right="0" w:firstLine="360"/>
            </w:pPr>
            <w:r>
              <w:t xml:space="preserve">Yeas </w:t>
              <w:t xml:space="preserve">92</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12:33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1717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Local Government (originally sponsored by Representatives Pollet, Goehner, Fitzgibbon, Ryu, Leavitt, Berg, Taylor, Robertson, Bateman, Valdez, Duerr, Fey, Ramel, Shewmake, Simmons, Dolan, Macri, and Young)</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participation in planning under the growth management act; and amending RCW 36.70A.040, 36.70A.085, 36.70A.106, 36.70A.110, 36.70A.190, and 36.70A.210.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040</w:t>
      </w:r>
      <w:r>
        <w:rPr/>
        <w:t xml:space="preserve"> and 2014 c 147 s 1 are each amended to read as follows:</w:t>
      </w:r>
    </w:p>
    <w:p>
      <w:pPr>
        <w:spacing w:before="0" w:after="0" w:line="408" w:lineRule="exact"/>
        <w:ind w:left="0" w:right="0" w:firstLine="576"/>
        <w:jc w:val="left"/>
      </w:pPr>
      <w:r>
        <w:rPr/>
        <w:t xml:space="preserve">(1) Each county that has both a population of fifty thousand or more and, until May 16, 1995, has had its population increase by more than ten percent in the previous ten years or, on or after May 16, 1995, has had its population increase by more than seventeen percent in the previous ten years, and the cities located within such county, and any other county regardless of its population that has had its population increase by more than twenty percent in the previous ten years, and the cities located within such county, shall conform with all of the requirements of this chapter. However, the county legislative authority of such a county with a population of less than fifty thousand population may adopt a resolution removing the county, and the cities located within the county, from the requirements of adopting comprehensive land use plans and development regulations under this chapter 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rPr/>
        <w:t xml:space="preserve">Once a county meets either of these sets of criteria, the requirement to conform with all of the requirements of this chapter remains in effect, even if the county no longer meets one of these sets of criteria.</w:t>
      </w:r>
    </w:p>
    <w:p>
      <w:pPr>
        <w:spacing w:before="0" w:after="0" w:line="408" w:lineRule="exact"/>
        <w:ind w:left="0" w:right="0" w:firstLine="576"/>
        <w:jc w:val="left"/>
      </w:pPr>
      <w:r>
        <w:rPr/>
        <w:t xml:space="preserve">(2)(a) The county legislative authority of any county that does not meet either of the sets of criteria established under subsection (1) of this section may adopt a resolution indicating its intention to have subsection (1) of this section apply to the county. Each city, located in a county that chooses to plan under this subsection, shall conform with all of the requirements of this chapter. Once such a resolution has been adopted, the county and the cities located within the county remain subject to all of the requirements of this chapter, unless the county subsequently adopts a withdrawal resolution for partial planning pursuant to (b)(i) of this subsection.</w:t>
      </w:r>
    </w:p>
    <w:p>
      <w:pPr>
        <w:spacing w:before="0" w:after="0" w:line="408" w:lineRule="exact"/>
        <w:ind w:left="0" w:right="0" w:firstLine="576"/>
        <w:jc w:val="left"/>
      </w:pPr>
      <w:r>
        <w:rPr/>
        <w:t xml:space="preserve">(b)(i) Until December 31, 2015,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t xml:space="preserve">(ii) Upon adoption of a resolution for partial planning under (b)(i) of this subsection:</w:t>
      </w:r>
    </w:p>
    <w:p>
      <w:pPr>
        <w:spacing w:before="0" w:after="0" w:line="408" w:lineRule="exact"/>
        <w:ind w:left="0" w:right="0" w:firstLine="576"/>
        <w:jc w:val="left"/>
      </w:pPr>
      <w:r>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p>
    <w:p>
      <w:pPr>
        <w:spacing w:before="0" w:after="0" w:line="408" w:lineRule="exact"/>
        <w:ind w:left="0" w:right="0" w:firstLine="576"/>
        <w:jc w:val="left"/>
      </w:pPr>
      <w:r>
        <w:rPr/>
        <w:t xml:space="preserve">(3) Any county or city that is initially required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forestlands, and mineral resource lands, and adopt development regulations conserving these designated agricultural lands, forestlands, and mineral resource lands and protecting these designated critical areas, under RCW 36.70A.170 and 36.70A.060; (c) the county shall designate and take other actions related to urban growth areas under RCW 36.70A.110; </w:t>
      </w:r>
      <w:r>
        <w:t>((</w:t>
      </w:r>
      <w:r>
        <w:rPr>
          <w:strike/>
        </w:rPr>
        <w:t xml:space="preserve">[and]</w:t>
      </w:r>
      <w:r>
        <w:t>))</w:t>
      </w:r>
      <w:r>
        <w:rPr/>
        <w:t xml:space="preserve"> </w:t>
      </w:r>
      <w:r>
        <w:rPr>
          <w:u w:val="single"/>
        </w:rPr>
        <w:t xml:space="preserve">and</w:t>
      </w:r>
      <w:r>
        <w:rPr/>
        <w:t xml:space="preserve">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(4) Any county or city that is required to conform with all the requirements of this chapter, as a result of the county legislative authority adopting its resolution of intention under subsection (2) of this section, shall take actions under this chapter as follows: (a) The county legislative authority shall adopt a countywide planning policy under RCW 36.70A.210; (b) the county and each city that is located within the county shall adopt development regulations conserving agricultural lands, forestlands, and mineral resource lands it designated under RCW 36.70A.060 within one year of the date the county legislative authority adopts its resolution of intention; (c) the county shall designate and take other actions related to urban growth areas under RCW 36.70A.110; and (d) the county and each city that is located within the county shall adopt a comprehensive plan and development regulations that are consistent with and implement the comprehensive plan not later than four years from the date the county legislative authority adopts its resolution of intention,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(5) If the office of financial management certifies that the population of a county that previously had not been required to plan under subsection (1) or (2) of this section has changed sufficiently to meet either of the sets of criteria specified under subsection (1) of this section, and where applicable, the county legislative authority has not adopted a resolution removing the county from these requirements as provided in subsection (1) of this section, the county and each city within such county shall take actions under this chapter as follows: (a) The county legislative authority shall adopt a countywide planning policy under RCW 36.70A.210; (b) the county and each city located within the county shall adopt development regulations under RCW 36.70A.060 conserving agricultural lands, forestlands, and mineral resource lands it designated within one year of the certification by the office of financial management; (c) the county shall designate and take other actions related to urban growth areas under RCW 36.70A.110; and (d) the county and each city located within the county shall adopt a comprehensive land use plan and development regulations that are consistent with and implement the comprehensive plan within four years of the certification by the office of financial management,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(6) A copy of each document that is required under this section shall be submitted to the department at the time of its adoption.</w:t>
      </w:r>
    </w:p>
    <w:p>
      <w:pPr>
        <w:spacing w:before="0" w:after="0" w:line="408" w:lineRule="exact"/>
        <w:ind w:left="0" w:right="0" w:firstLine="576"/>
        <w:jc w:val="left"/>
      </w:pPr>
      <w:r>
        <w:rPr/>
        <w:t xml:space="preserve">(7) Cities and counties planning under this chapter must amend the transportation element of the comprehensive plan to be in compliance with this chapter and chapter 47.80 RCW no later than December 31, 2000.</w:t>
      </w:r>
    </w:p>
    <w:p>
      <w:pPr>
        <w:spacing w:before="0" w:after="0" w:line="408" w:lineRule="exact"/>
        <w:ind w:left="0" w:right="0" w:firstLine="576"/>
        <w:jc w:val="left"/>
      </w:pPr>
      <w:r>
        <w:rPr>
          <w:u w:val="single"/>
        </w:rPr>
        <w:t xml:space="preserve">(8) A federally recognized Indian tribe may voluntarily choose to participate in the county or regional planning process and coordinate with the county and cities that are either required to comply with the provisions of this chapter pursuant to subsection (1) of this section or voluntarily choose to comply with the provisions of this chapter pursuant to subsection (2) of this section. Collaboration and participation is a nonexclusive exercise of coordination and cooperation in the planning process and failure to exercise discretionary collaboration and participation shall not limit a party's standing for quasi-judicial or judicial review or appeal under this chapter.</w:t>
      </w:r>
    </w:p>
    <w:p>
      <w:pPr>
        <w:spacing w:before="0" w:after="0" w:line="408" w:lineRule="exact"/>
        <w:ind w:left="0" w:right="0" w:firstLine="576"/>
        <w:jc w:val="left"/>
      </w:pPr>
      <w:r>
        <w:rPr>
          <w:u w:val="single"/>
        </w:rPr>
        <w:t xml:space="preserve">(a) Upon receipt of notice in the form of a tribal resolution from a federally recognized Indian tribe whose reservation or ceded lands lie within the county, which indicates the tribe has a planning process or intends to initiate a parallel planning process, the county, cities, and other local governments conducting the planning under this chapter shall enter into good faith negotiations to develop a mutually agreeable memorandum of agreement with such tribes in regard to collaboration and participation in the planning process. If a mutually agreeable memorandum of agreement cannot be reached between the local government and such tribes, the local government shall enter mediation with such tribes for a period not to exceed 30 days, which shall be arranged by the department using a suitable expert to be paid by the department. If a mutually agreeable memorandum of agreement is not reached at the conclusion of the mediation period, the period shall be extended for one additional period not to exceed 30 days, upon written notice to the department by one or more parties. If a mutually agreeable memorandum of agreement cannot be reached at the end of the mediation period or the extended mediation period, the parties shall have no further obligation to develop a memorandum of agreement. Inability to reach a mutually agreeable memorandum of agreement shall not preclude a tribe from providing notice as described in this subsection (8)(a) in subsequent planning processes.</w:t>
      </w:r>
    </w:p>
    <w:p>
      <w:pPr>
        <w:spacing w:before="0" w:after="0" w:line="408" w:lineRule="exact"/>
        <w:ind w:left="0" w:right="0" w:firstLine="576"/>
        <w:jc w:val="left"/>
      </w:pPr>
      <w:r>
        <w:rPr>
          <w:u w:val="single"/>
        </w:rPr>
        <w:t xml:space="preserve">(b) Nothing in this subsection, any other provision in this chapter, or a tribe's decision to become a participating tribe for planning purposes, shall affect, alter, or limit in any way a tribe's authority, jurisdiction, or any treaty or other rights it may have by virtue of its status as a sovereign Indian tribe.</w:t>
      </w:r>
    </w:p>
    <w:p>
      <w:pPr>
        <w:spacing w:before="0" w:after="0" w:line="408" w:lineRule="exact"/>
        <w:ind w:left="0" w:right="0" w:firstLine="576"/>
        <w:jc w:val="left"/>
      </w:pPr>
      <w:r>
        <w:rPr>
          <w:u w:val="single"/>
        </w:rPr>
        <w:t xml:space="preserve">(c) Nothing in this subsection or any other provision in this chapter shall affect, alter, or limit in any way a local government legislative body's authority to adopt and amend comprehensive land use plans and development regulations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085</w:t>
      </w:r>
      <w:r>
        <w:rPr/>
        <w:t xml:space="preserve"> and 2009 c 514 s 2 are each amended to read as follows:</w:t>
      </w:r>
    </w:p>
    <w:p>
      <w:pPr>
        <w:spacing w:before="0" w:after="0" w:line="408" w:lineRule="exact"/>
        <w:ind w:left="0" w:right="0" w:firstLine="576"/>
        <w:jc w:val="left"/>
      </w:pPr>
      <w:r>
        <w:rPr/>
        <w:t xml:space="preserve">(1) Comprehensive plans of cities that have a marine container port with annual operating revenues in excess of sixty million dollars within their jurisdiction must include a container port element.</w:t>
      </w:r>
    </w:p>
    <w:p>
      <w:pPr>
        <w:spacing w:before="0" w:after="0" w:line="408" w:lineRule="exact"/>
        <w:ind w:left="0" w:right="0" w:firstLine="576"/>
        <w:jc w:val="left"/>
      </w:pPr>
      <w:r>
        <w:rPr/>
        <w:t xml:space="preserve">(2) Comprehensive plans of cities that include all or part of a port district with annual operating revenues in excess of twenty million dollars may include a marine industrial port element. Prior to adopting a marine industrial port element under this subsection (2), the commission of the applicable port district must adopt a resolution in support of the proposed element.</w:t>
      </w:r>
    </w:p>
    <w:p>
      <w:pPr>
        <w:spacing w:before="0" w:after="0" w:line="408" w:lineRule="exact"/>
        <w:ind w:left="0" w:right="0" w:firstLine="576"/>
        <w:jc w:val="left"/>
      </w:pPr>
      <w:r>
        <w:rPr/>
        <w:t xml:space="preserve">(3) Port elements adopted under subsections (1) and (2) of this section must be developed collaboratively between the city </w:t>
      </w:r>
      <w:r>
        <w:t>((</w:t>
      </w:r>
      <w:r>
        <w:rPr>
          <w:strike/>
        </w:rPr>
        <w:t xml:space="preserve">and</w:t>
      </w:r>
      <w:r>
        <w:t>))</w:t>
      </w:r>
      <w:r>
        <w:rPr>
          <w:u w:val="single"/>
        </w:rPr>
        <w:t xml:space="preserve">,</w:t>
      </w:r>
      <w:r>
        <w:rPr/>
        <w:t xml:space="preserve"> the applicable port, and </w:t>
      </w:r>
      <w:r>
        <w:rPr>
          <w:u w:val="single"/>
        </w:rPr>
        <w:t xml:space="preserve">the applicable tribe, which shall comply with RCW 36.70A.040(8), and</w:t>
      </w:r>
      <w:r>
        <w:rPr/>
        <w:t xml:space="preserve"> must establish policies and programs that:</w:t>
      </w:r>
    </w:p>
    <w:p>
      <w:pPr>
        <w:spacing w:before="0" w:after="0" w:line="408" w:lineRule="exact"/>
        <w:ind w:left="0" w:right="0" w:firstLine="576"/>
        <w:jc w:val="left"/>
      </w:pPr>
      <w:r>
        <w:rPr/>
        <w:t xml:space="preserve">(a) Define and protect the core areas of port and port-related industrial uses within the city;</w:t>
      </w:r>
    </w:p>
    <w:p>
      <w:pPr>
        <w:spacing w:before="0" w:after="0" w:line="408" w:lineRule="exact"/>
        <w:ind w:left="0" w:right="0" w:firstLine="576"/>
        <w:jc w:val="left"/>
      </w:pPr>
      <w:r>
        <w:rPr/>
        <w:t xml:space="preserve">(b) Provide reasonably efficient access to the core area through freight corridors within the city limits; and</w:t>
      </w:r>
    </w:p>
    <w:p>
      <w:pPr>
        <w:spacing w:before="0" w:after="0" w:line="408" w:lineRule="exact"/>
        <w:ind w:left="0" w:right="0" w:firstLine="576"/>
        <w:jc w:val="left"/>
      </w:pPr>
      <w:r>
        <w:rPr/>
        <w:t xml:space="preserve">(c) Identify and resolve key land use conflicts along the edge of the core area, and minimize and mitigate, to the extent practicable, incompatible uses along the edge of the core area.</w:t>
      </w:r>
    </w:p>
    <w:p>
      <w:pPr>
        <w:spacing w:before="0" w:after="0" w:line="408" w:lineRule="exact"/>
        <w:ind w:left="0" w:right="0" w:firstLine="576"/>
        <w:jc w:val="left"/>
      </w:pPr>
      <w:r>
        <w:rPr/>
        <w:t xml:space="preserve">(4) Port elements adopted under subsections (1) and (2) of this section must be: </w:t>
      </w:r>
    </w:p>
    <w:p>
      <w:pPr>
        <w:spacing w:before="0" w:after="0" w:line="408" w:lineRule="exact"/>
        <w:ind w:left="0" w:right="0" w:firstLine="576"/>
        <w:jc w:val="left"/>
      </w:pPr>
      <w:r>
        <w:rPr/>
        <w:t xml:space="preserve">(a) Completed and approved by the city according to the schedule specified in RCW 36.70A.130; and</w:t>
      </w:r>
    </w:p>
    <w:p>
      <w:pPr>
        <w:spacing w:before="0" w:after="0" w:line="408" w:lineRule="exact"/>
        <w:ind w:left="0" w:right="0" w:firstLine="576"/>
        <w:jc w:val="left"/>
      </w:pPr>
      <w:r>
        <w:rPr/>
        <w:t xml:space="preserve">(b) Consistent with the economic development, transportation, and land use elements of the city's comprehensive plan, and consistent with the city's capital facilities plan.</w:t>
      </w:r>
    </w:p>
    <w:p>
      <w:pPr>
        <w:spacing w:before="0" w:after="0" w:line="408" w:lineRule="exact"/>
        <w:ind w:left="0" w:right="0" w:firstLine="576"/>
        <w:jc w:val="left"/>
      </w:pPr>
      <w:r>
        <w:rPr/>
        <w:t xml:space="preserve">(5) In adopting port elements under subsections (1) and (2) of this section, cities and ports must: Ensure that there is consistency between the port elements and the port comprehensive scheme required under chapters 53.20 and 53.25 RCW; and retain sufficient planning flexibility to secure emerging economic opportunities.</w:t>
      </w:r>
    </w:p>
    <w:p>
      <w:pPr>
        <w:spacing w:before="0" w:after="0" w:line="408" w:lineRule="exact"/>
        <w:ind w:left="0" w:right="0" w:firstLine="576"/>
        <w:jc w:val="left"/>
      </w:pPr>
      <w:r>
        <w:rPr/>
        <w:t xml:space="preserve">(6) In developing port elements under subsections (1) and (2) of this section, a city may utilize one or more of the following approaches:</w:t>
      </w:r>
    </w:p>
    <w:p>
      <w:pPr>
        <w:spacing w:before="0" w:after="0" w:line="408" w:lineRule="exact"/>
        <w:ind w:left="0" w:right="0" w:firstLine="576"/>
        <w:jc w:val="left"/>
      </w:pPr>
      <w:r>
        <w:rPr/>
        <w:t xml:space="preserve">(a) Creation of a port overlay district that protects container port uses;</w:t>
      </w:r>
    </w:p>
    <w:p>
      <w:pPr>
        <w:spacing w:before="0" w:after="0" w:line="408" w:lineRule="exact"/>
        <w:ind w:left="0" w:right="0" w:firstLine="576"/>
        <w:jc w:val="left"/>
      </w:pPr>
      <w:r>
        <w:rPr/>
        <w:t xml:space="preserve">(b) Use of industrial land banks;</w:t>
      </w:r>
    </w:p>
    <w:p>
      <w:pPr>
        <w:spacing w:before="0" w:after="0" w:line="408" w:lineRule="exact"/>
        <w:ind w:left="0" w:right="0" w:firstLine="576"/>
        <w:jc w:val="left"/>
      </w:pPr>
      <w:r>
        <w:rPr/>
        <w:t xml:space="preserve">(c) Use of buffers and transition zones between incompatible uses;</w:t>
      </w:r>
    </w:p>
    <w:p>
      <w:pPr>
        <w:spacing w:before="0" w:after="0" w:line="408" w:lineRule="exact"/>
        <w:ind w:left="0" w:right="0" w:firstLine="576"/>
        <w:jc w:val="left"/>
      </w:pPr>
      <w:r>
        <w:rPr/>
        <w:t xml:space="preserve">(d) Use of joint transportation funding agreements;</w:t>
      </w:r>
    </w:p>
    <w:p>
      <w:pPr>
        <w:spacing w:before="0" w:after="0" w:line="408" w:lineRule="exact"/>
        <w:ind w:left="0" w:right="0" w:firstLine="576"/>
        <w:jc w:val="left"/>
      </w:pPr>
      <w:r>
        <w:rPr/>
        <w:t xml:space="preserve">(e) Use of policies to encourage the retention of valuable warehouse and storage facilities;</w:t>
      </w:r>
    </w:p>
    <w:p>
      <w:pPr>
        <w:spacing w:before="0" w:after="0" w:line="408" w:lineRule="exact"/>
        <w:ind w:left="0" w:right="0" w:firstLine="576"/>
        <w:jc w:val="left"/>
      </w:pPr>
      <w:r>
        <w:rPr/>
        <w:t xml:space="preserve">(f) Use of limitations on the location or size, or both, of nonindustrial uses in the core area and surrounding areas; and</w:t>
      </w:r>
    </w:p>
    <w:p>
      <w:pPr>
        <w:spacing w:before="0" w:after="0" w:line="408" w:lineRule="exact"/>
        <w:ind w:left="0" w:right="0" w:firstLine="576"/>
        <w:jc w:val="left"/>
      </w:pPr>
      <w:r>
        <w:rPr/>
        <w:t xml:space="preserve">(g) Use of other approaches by agreement between the city and the port.</w:t>
      </w:r>
    </w:p>
    <w:p>
      <w:pPr>
        <w:spacing w:before="0" w:after="0" w:line="408" w:lineRule="exact"/>
        <w:ind w:left="0" w:right="0" w:firstLine="576"/>
        <w:jc w:val="left"/>
      </w:pPr>
      <w:r>
        <w:rPr/>
        <w:t xml:space="preserve">(7) The department of community, trade, and economic development must provide matching grant funds to cities meeting the requirements of subsection (1) of this section to support development of the required container port element.</w:t>
      </w:r>
    </w:p>
    <w:p>
      <w:pPr>
        <w:spacing w:before="0" w:after="0" w:line="408" w:lineRule="exact"/>
        <w:ind w:left="0" w:right="0" w:firstLine="576"/>
        <w:jc w:val="left"/>
      </w:pPr>
      <w:r>
        <w:rPr/>
        <w:t xml:space="preserve">(8) Any planned improvements identified in port elements adopted under subsections (1) and (2) of this section must be transmitted by the city to the transportation commission for consideration of inclusion in the statewide transportation plan required under RCW 47.01.071.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106</w:t>
      </w:r>
      <w:r>
        <w:rPr/>
        <w:t xml:space="preserve"> and 2004 c 197 s 1 are each amended to read as follows:</w:t>
      </w:r>
    </w:p>
    <w:p>
      <w:pPr>
        <w:spacing w:before="0" w:after="0" w:line="408" w:lineRule="exact"/>
        <w:ind w:left="0" w:right="0" w:firstLine="576"/>
        <w:jc w:val="left"/>
      </w:pPr>
      <w:r>
        <w:rPr/>
        <w:t xml:space="preserve">(1) Each county and city proposing adoption of a comprehensive plan or development regulations under this chapter shall notify the department of its intent to adopt such plan or regulations at least sixty days prior to final adoption. State agencies including the department may provide comments to the county or city on the proposed comprehensive plan, or proposed development regulations, during the public review process prior to adoption.</w:t>
      </w:r>
    </w:p>
    <w:p>
      <w:pPr>
        <w:spacing w:before="0" w:after="0" w:line="408" w:lineRule="exact"/>
        <w:ind w:left="0" w:right="0" w:firstLine="576"/>
        <w:jc w:val="left"/>
      </w:pPr>
      <w:r>
        <w:rPr/>
        <w:t xml:space="preserve">(2) Each county and city planning under this chapter shall transmit a complete and accurate copy of its comprehensive plan or development regulations to the department within ten days after final adoption.</w:t>
      </w:r>
    </w:p>
    <w:p>
      <w:pPr>
        <w:spacing w:before="0" w:after="0" w:line="408" w:lineRule="exact"/>
        <w:ind w:left="0" w:right="0" w:firstLine="576"/>
        <w:jc w:val="left"/>
      </w:pPr>
      <w:r>
        <w:rPr/>
        <w:t xml:space="preserve">(3)(a) Any amendments for permanent changes to a comprehensive plan or development regulation that are proposed by a county or city to its adopted plan or regulations shall be submitted to the department in the same manner as initial plans and development regulations under this section. Any amendments to a comprehensive plan or development regulations that are adopted by a county or city shall be transmitted to the department in the same manner as the initial plans and regulations under this section.</w:t>
      </w:r>
    </w:p>
    <w:p>
      <w:pPr>
        <w:spacing w:before="0" w:after="0" w:line="408" w:lineRule="exact"/>
        <w:ind w:left="0" w:right="0" w:firstLine="576"/>
        <w:jc w:val="left"/>
      </w:pPr>
      <w:r>
        <w:rPr/>
        <w:t xml:space="preserve">(b) Each county and city planning under this chapter may request expedited review for any amendments for permanent changes to a development regulation. Upon receiving a request for expedited review, and after consultation with other state agencies, the department may grant expedited review if the department determines that expedited review does not compromise the state's ability to provide timely comments related to compliance with the goals and requirements of this chapter or on other matters of state interest. Cities and counties may adopt amendments for permanent changes to a development regulation immediately following the granting of the request for expedited review by the department.</w:t>
      </w:r>
    </w:p>
    <w:p>
      <w:pPr>
        <w:spacing w:before="0" w:after="0" w:line="408" w:lineRule="exact"/>
        <w:ind w:left="0" w:right="0" w:firstLine="576"/>
        <w:jc w:val="left"/>
      </w:pPr>
      <w:r>
        <w:rPr>
          <w:u w:val="single"/>
        </w:rPr>
        <w:t xml:space="preserve">(c) A federally recognized Indian tribe may request to receive from the department copies of notices received from cities or counties under this section. Upon receipt of a submittal from a city or county under this section, the department shall forward the submittal to any tribe that has requested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2017 c 305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t>
      </w:r>
      <w:r>
        <w:rPr>
          <w:u w:val="single"/>
        </w:rPr>
        <w:t xml:space="preserve">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t xml:space="preserve">(9)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 plains, fish and wildlife habitats, or geological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and other relevant factors.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w:t>
      </w:r>
      <w:r>
        <w:rPr>
          <w:u w:val="single"/>
        </w:rPr>
        <w:t xml:space="preserve">The department shall provide services to facilitate the timely resolution of disputes between a federally recognized Indian tribe and a city or county.</w:t>
      </w:r>
    </w:p>
    <w:p>
      <w:pPr>
        <w:spacing w:before="0" w:after="0" w:line="408" w:lineRule="exact"/>
        <w:ind w:left="0" w:right="0" w:firstLine="576"/>
        <w:jc w:val="left"/>
      </w:pPr>
      <w:r>
        <w:rPr>
          <w:u w:val="single"/>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u w:val="single"/>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u w:val="single"/>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u w:val="single"/>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 upon elements of the plan to be amended.</w:t>
      </w:r>
    </w:p>
    <w:p>
      <w:pPr>
        <w:spacing w:before="0" w:after="0" w:line="408" w:lineRule="exact"/>
        <w:ind w:left="0" w:right="0" w:firstLine="576"/>
        <w:jc w:val="left"/>
      </w:pPr>
      <w:r>
        <w:rPr>
          <w:u w:val="single"/>
        </w:rPr>
        <w:t xml:space="preserve">(7)</w:t>
      </w:r>
      <w:r>
        <w:rPr/>
        <w:t xml:space="preserve"> The department shall provide planning grants to enhance citizen participation under RCW 36.70A.140.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2009 c 121 s 2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sixty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sixty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w:t>
      </w:r>
      <w:r>
        <w:t>((</w:t>
      </w:r>
      <w:r>
        <w:rPr>
          <w:strike/>
        </w:rPr>
        <w:t xml:space="preserve">community, trade, and economic development</w:t>
      </w:r>
      <w:r>
        <w:t>))</w:t>
      </w:r>
      <w:r>
        <w:rPr/>
        <w:t xml:space="preserve"> </w:t>
      </w:r>
      <w:r>
        <w:rPr>
          <w:u w:val="single"/>
        </w:rPr>
        <w:t xml:space="preserve">commerce</w:t>
      </w:r>
      <w:r>
        <w:rPr/>
        <w:t xml:space="preserv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fourteen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 </w:t>
      </w:r>
      <w:r>
        <w:t>((</w:t>
      </w:r>
      <w:r>
        <w:rPr>
          <w:strike/>
        </w:rPr>
        <w:t xml:space="preserve">and</w:t>
      </w:r>
      <w:r>
        <w:t>))</w:t>
      </w:r>
    </w:p>
    <w:p>
      <w:pPr>
        <w:spacing w:before="0" w:after="0" w:line="408" w:lineRule="exact"/>
        <w:ind w:left="0" w:right="0" w:firstLine="576"/>
        <w:jc w:val="left"/>
      </w:pPr>
      <w:r>
        <w:rPr/>
        <w:t xml:space="preserve">(h) An analysis of the fiscal impact</w:t>
      </w:r>
      <w:r>
        <w:rPr>
          <w:u w:val="single"/>
        </w:rPr>
        <w:t xml:space="preserve">; and</w:t>
      </w:r>
    </w:p>
    <w:p>
      <w:pPr>
        <w:spacing w:before="0" w:after="0" w:line="408" w:lineRule="exact"/>
        <w:ind w:left="0" w:right="0" w:firstLine="576"/>
        <w:jc w:val="left"/>
      </w:pPr>
      <w:r>
        <w:rPr>
          <w:u w:val="single"/>
        </w:rPr>
        <w:t xml:space="preserve">(i) Policies that address the protection of tribal cultural resources in collaboration with federally recognized Indian tribes that are invited pursuant to subsection (4) of this section, provided that a tribe, or more than one tribe, chooses to participate in the process</w:t>
      </w:r>
      <w:r>
        <w:rPr/>
        <w:t xml:space="preserve">.</w:t>
      </w:r>
    </w:p>
    <w:p>
      <w:pPr>
        <w:spacing w:before="0" w:after="0" w:line="408" w:lineRule="exact"/>
        <w:ind w:left="0" w:right="0" w:firstLine="576"/>
        <w:jc w:val="left"/>
      </w:pPr>
      <w:r>
        <w:rPr/>
        <w:t xml:space="preserve">(4) Federal agencies and </w:t>
      </w:r>
      <w:r>
        <w:rPr>
          <w:u w:val="single"/>
        </w:rPr>
        <w:t xml:space="preserve">federally recognized</w:t>
      </w:r>
      <w:r>
        <w:rPr/>
        <w:t xml:space="preserve"> Indian tribes </w:t>
      </w:r>
      <w:r>
        <w:t>((</w:t>
      </w:r>
      <w:r>
        <w:rPr>
          <w:strike/>
        </w:rPr>
        <w:t xml:space="preserve">may</w:t>
      </w:r>
      <w:r>
        <w:t>))</w:t>
      </w:r>
      <w:r>
        <w:rPr/>
        <w:t xml:space="preserve"> </w:t>
      </w:r>
      <w:r>
        <w:rPr>
          <w:u w:val="single"/>
        </w:rPr>
        <w:t xml:space="preserve">whose reservation or ceded lands lie within the county shall be invited to</w:t>
      </w:r>
      <w:r>
        <w:rPr/>
        <w:t xml:space="preserve">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sixty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11,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49acbbf64892437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4ee2614f7147d9" /><Relationship Type="http://schemas.openxmlformats.org/officeDocument/2006/relationships/footer" Target="/word/footer1.xml" Id="R49acbbf648924375" /></Relationships>
</file>