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4625e4c48743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1643</w:t>
      </w:r>
    </w:p>
    <w:p>
      <w:pPr>
        <w:jc w:val="center"/>
        <w:spacing w:before="480" w:after="0" w:line="240"/>
      </w:pPr>
      <w:r>
        <w:t xml:space="preserve">Chapter </w:t>
      </w:r>
      <w:r>
        <w:rPr/>
        <w:t xml:space="preserve">199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REAL ESTATE EXCISE TAX—TRANSFERS FOR AFFORDABLE HOUSING</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 3, which takes effect January 1, 2023; and section 4, which takes effect January 1, 2030.</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97</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1643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2:17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1643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Finance (originally sponsored by Representatives Hackney, Stokesbary, Bateman, Ryu, Simmons, Leavitt, Robertson, Walen, Valdez, Paul, Callan, Gilday, Macri, Peterson, Ramos, Chopp, Bergquist, and Kloba)</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a sale or transfer of real property for affordable housing to a nonprofit entity, housing authority, public corporation, county, or municipal corporation from the real estate excise tax; amending RCW 82.45.010; reenacting and amending RCW 82.45.010;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one of the strongest economies in the country. However, despite the strong economy, our state has entered an affordable housing crisis where low-income and middle-income households have the fewest number of housing options. Furthermore, it is estimated that Washington state's housing gap is among the most severe in the nation, with only 29 affordable and available rental homes for every 100 extremely low-income households.</w:t>
      </w:r>
    </w:p>
    <w:p>
      <w:pPr>
        <w:spacing w:before="0" w:after="0" w:line="408" w:lineRule="exact"/>
        <w:ind w:left="0" w:right="0" w:firstLine="576"/>
        <w:jc w:val="left"/>
      </w:pPr>
      <w:r>
        <w:rPr/>
        <w:t xml:space="preserve">(2) The legislature concludes that in the spirit of one Washington, the health of all Washingtonians will benefit from a larger stock in affordable housing. Therefore, it is the intent of the legislature to incentivize real property transfers to nonprofit housing providers, public housing authorities, or local governments to increase the availability of affordable housing for low-income Washingtonians.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in sections 3 and 4, chapter . . ., Laws of 2022 (sections 3 and 4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sales or transfers of real property to nonprofit entities, housing authorities, or public corporations that intend to use the transferred property for housing for low-income persons.</w:t>
      </w:r>
    </w:p>
    <w:p>
      <w:pPr>
        <w:spacing w:before="0" w:after="0" w:line="408" w:lineRule="exact"/>
        <w:ind w:left="0" w:right="0" w:firstLine="576"/>
        <w:jc w:val="left"/>
      </w:pPr>
      <w:r>
        <w:rPr/>
        <w:t xml:space="preserve">(4) If a review finds that the number of sales or transfers of real property to qualified entities has not increased, then the legislature intends to repeal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available data source, including the transfer or sale of properties reported by county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2019 c 424 s 3, 2019 c 390 s 10, and 2019 c 385 s 2 are each reenacted and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thirty-six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thirty-six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thirty-six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The sale by an affordable homeownership facilitator of self-help housing to a low-income household. </w:t>
      </w:r>
      <w:r>
        <w:t>((</w:t>
      </w:r>
      <w:r>
        <w:rPr>
          <w:strike/>
        </w:rPr>
        <w:t xml:space="preserve">The definitions in section 2 of this act apply to this subsection.</w:t>
      </w:r>
      <w:r>
        <w:t>))</w:t>
      </w:r>
    </w:p>
    <w:p>
      <w:pPr>
        <w:spacing w:before="0" w:after="0" w:line="408" w:lineRule="exact"/>
        <w:ind w:left="0" w:right="0" w:firstLine="576"/>
        <w:jc w:val="left"/>
      </w:pPr>
      <w:r>
        <w:rPr/>
        <w:t xml:space="preserve">(ii) The definitions in this subsection (3)(u) apply to this subsection (3)(u) unless the context clearly requires otherwise.</w:t>
      </w:r>
    </w:p>
    <w:p>
      <w:pPr>
        <w:spacing w:before="0" w:after="0" w:line="408" w:lineRule="exact"/>
        <w:ind w:left="0" w:right="0" w:firstLine="576"/>
        <w:jc w:val="left"/>
      </w:pPr>
      <w:r>
        <w:rPr/>
        <w:t xml:space="preserve">(A) "Affordable homeownership facilitator" means a nonprofit community or neighborhood-based organization that is exempt from income tax under Title 26 U.S.C. Sec. 501(c) of the internal revenue code of 1986, as amended, as of October 1, 2019, and that is the developer of self-help housing.</w:t>
      </w:r>
    </w:p>
    <w:p>
      <w:pPr>
        <w:spacing w:before="0" w:after="0" w:line="408" w:lineRule="exact"/>
        <w:ind w:left="0" w:right="0" w:firstLine="576"/>
        <w:jc w:val="left"/>
      </w:pPr>
      <w:r>
        <w:rPr/>
        <w:t xml:space="preserve">(B) "Low-income" means household income as defined by the department, provided that the definition may not exceed eighty percent of median household income, adjusted for household size, for the county in which the dwelling is located.</w:t>
      </w:r>
    </w:p>
    <w:p>
      <w:pPr>
        <w:spacing w:before="0" w:after="0" w:line="408" w:lineRule="exact"/>
        <w:ind w:left="0" w:right="0" w:firstLine="576"/>
        <w:jc w:val="left"/>
      </w:pPr>
      <w:r>
        <w:rPr/>
        <w:t xml:space="preserve">(C) "Self-help housing" means dwelling residences provided for ownership by low-income individuals and families whose ownership requirement includes labor participation. "Self-help housing" does not include residential rental housing provided on a commercial basis to the general public.</w:t>
      </w:r>
    </w:p>
    <w:p>
      <w:pPr>
        <w:spacing w:before="0" w:after="0" w:line="408" w:lineRule="exact"/>
        <w:ind w:left="0" w:right="0" w:firstLine="576"/>
        <w:jc w:val="left"/>
      </w:pPr>
      <w:r>
        <w:rPr>
          <w:u w:val="single"/>
        </w:rPr>
        <w:t xml:space="preserve">(v)(i)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(3)(v), "qualifying grantee" means a nonprofit entity as defined in RCW 84.36.560, a nonprofit entity or qualified cooperative association as defined in RCW </w:t>
      </w:r>
      <w:r>
        <w:rPr>
          <w:u w:val="single"/>
        </w:rPr>
        <w:t xml:space="preserve">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(v)(i)(A), (B), or (C) of this subsection and must also certify, by affidavit at the time of sale or transfer, that it intends to comply with those requirements.</w:t>
      </w:r>
    </w:p>
    <w:p>
      <w:pPr>
        <w:spacing w:before="0" w:after="0" w:line="408" w:lineRule="exact"/>
        <w:ind w:left="0" w:right="0" w:firstLine="576"/>
        <w:jc w:val="left"/>
      </w:pPr>
      <w:r>
        <w:rPr>
          <w:u w:val="single"/>
        </w:rPr>
        <w:t xml:space="preserve">(A) If the qualifying grantee intends to operate existing housing on the property, within one year of the sale or transfer:</w:t>
      </w:r>
    </w:p>
    <w:p>
      <w:pPr>
        <w:spacing w:before="0" w:after="0" w:line="408" w:lineRule="exact"/>
        <w:ind w:left="0" w:right="0" w:firstLine="576"/>
        <w:jc w:val="left"/>
      </w:pPr>
      <w:r>
        <w:rPr>
          <w:u w:val="single"/>
        </w:rPr>
        <w:t xml:space="preserve">(I) The qualifying grantee must receive or qualify the property for a tax exemption under RCW 84.36.560, 84.36.049</w:t>
      </w:r>
      <w:r>
        <w:rPr>
          <w:u w:val="single"/>
        </w:rPr>
        <w:t xml:space="preserve">, 35.82.210, 35.21.755, or 84.36.010; and</w:t>
      </w:r>
    </w:p>
    <w:p>
      <w:pPr>
        <w:spacing w:before="0" w:after="0" w:line="408" w:lineRule="exact"/>
        <w:ind w:left="0" w:right="0" w:firstLine="576"/>
        <w:jc w:val="left"/>
      </w:pPr>
      <w:r>
        <w:rPr>
          <w:u w:val="single"/>
        </w:rPr>
        <w:t xml:space="preserve">(II) The property must be used as housing for low-income persons.</w:t>
      </w:r>
    </w:p>
    <w:p>
      <w:pPr>
        <w:spacing w:before="0" w:after="0" w:line="408" w:lineRule="exact"/>
        <w:ind w:left="0" w:right="0" w:firstLine="576"/>
        <w:jc w:val="left"/>
      </w:pPr>
      <w:r>
        <w:rPr>
          <w:u w:val="single"/>
        </w:rPr>
        <w:t xml:space="preserve">(B) If the qualifying grantee intends to develop new housing on the site, within five years of the sale or transfer:</w:t>
      </w:r>
    </w:p>
    <w:p>
      <w:pPr>
        <w:spacing w:before="0" w:after="0" w:line="408" w:lineRule="exact"/>
        <w:ind w:left="0" w:right="0" w:firstLine="576"/>
        <w:jc w:val="left"/>
      </w:pPr>
      <w:r>
        <w:rPr>
          <w:u w:val="single"/>
        </w:rPr>
        <w:t xml:space="preserve">(I) The qualifying grantee must receive or qualify the property for a tax exemption under RCW 84.36.560, 84.36.049</w:t>
      </w:r>
      <w:r>
        <w:rPr>
          <w:u w:val="single"/>
        </w:rPr>
        <w:t xml:space="preserve">, 35.82.210, 35.21.755, or 84.36.010; and</w:t>
      </w:r>
    </w:p>
    <w:p>
      <w:pPr>
        <w:spacing w:before="0" w:after="0" w:line="408" w:lineRule="exact"/>
        <w:ind w:left="0" w:right="0" w:firstLine="576"/>
        <w:jc w:val="left"/>
      </w:pPr>
      <w:r>
        <w:rPr>
          <w:u w:val="single"/>
        </w:rPr>
        <w:t xml:space="preserve">(II) The property must be used as housing for low-income persons.</w:t>
      </w:r>
    </w:p>
    <w:p>
      <w:pPr>
        <w:spacing w:before="0" w:after="0" w:line="408" w:lineRule="exact"/>
        <w:ind w:left="0" w:right="0" w:firstLine="576"/>
        <w:jc w:val="left"/>
      </w:pPr>
      <w:r>
        <w:rPr>
          <w:u w:val="single"/>
        </w:rPr>
        <w:t xml:space="preserve">(C) If the qualifying grantee intends to substantially rehabilitate the premises as defined in RCW 59.18.200, within three years:</w:t>
      </w:r>
    </w:p>
    <w:p>
      <w:pPr>
        <w:spacing w:before="0" w:after="0" w:line="408" w:lineRule="exact"/>
        <w:ind w:left="0" w:right="0" w:firstLine="576"/>
        <w:jc w:val="left"/>
      </w:pPr>
      <w:r>
        <w:rPr>
          <w:u w:val="single"/>
        </w:rPr>
        <w:t xml:space="preserve">(I) The qualifying grantee must receive or qualify the property for a tax exemption under RCW 84.36.560, 84.36.049</w:t>
      </w:r>
      <w:r>
        <w:rPr>
          <w:u w:val="single"/>
        </w:rPr>
        <w:t xml:space="preserve">, 35.82.210, 35.21.755, or 84.36.010; and</w:t>
      </w:r>
    </w:p>
    <w:p>
      <w:pPr>
        <w:spacing w:before="0" w:after="0" w:line="408" w:lineRule="exact"/>
        <w:ind w:left="0" w:right="0" w:firstLine="576"/>
        <w:jc w:val="left"/>
      </w:pPr>
      <w:r>
        <w:rPr>
          <w:u w:val="single"/>
        </w:rPr>
        <w:t xml:space="preserve">(II) The property must be used as housing for low-income persons.</w:t>
      </w:r>
    </w:p>
    <w:p>
      <w:pPr>
        <w:spacing w:before="0" w:after="0" w:line="408" w:lineRule="exact"/>
        <w:ind w:left="0" w:right="0" w:firstLine="576"/>
        <w:jc w:val="left"/>
      </w:pPr>
      <w:r>
        <w:rPr>
          <w:u w:val="single"/>
        </w:rPr>
        <w:t xml:space="preserve">(ii) If the qualifying grantee fails to satisfy the requirements described in (v)(i)(A), (B), or (C) of this subsection, within the timelines described in (v)(i)(A),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u w:val="single"/>
        </w:rPr>
        <w:t xml:space="preserve">(iii) If a qualifying grantee transfers the property to a different qualifying grantee within the original timelines described in (v)(i)(A), (B), or (C) of this subsection, neither the original qualifying grantee nor the new qualifying grantee is required to pay the tax, so long as the new qualifying grantee satisfies the requirements as described in (v)(i)(A), (B), or (C) of this subsection within the exemption period of the initial transfer. If the new qualifying grantee fails to satisfy the requirements described in (v)(i)(A), (B), or (C) of this subsection, only the new qualifying grantee is liable for the payment of taxes required by (v)(ii) of this subsection. There is no limit on the number of transfers between qualifying grantees within the original timelines.</w:t>
      </w:r>
    </w:p>
    <w:p>
      <w:pPr>
        <w:spacing w:before="0" w:after="0" w:line="408" w:lineRule="exact"/>
        <w:ind w:left="0" w:right="0" w:firstLine="576"/>
        <w:jc w:val="left"/>
      </w:pPr>
      <w:r>
        <w:rPr>
          <w:u w:val="single"/>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(v)(i)(A), (B), or (C) of this subsection have been satisfied.</w:t>
      </w:r>
    </w:p>
    <w:p>
      <w:pPr>
        <w:spacing w:before="0" w:after="0" w:line="408" w:lineRule="exact"/>
        <w:ind w:left="0" w:right="0" w:firstLine="576"/>
        <w:jc w:val="left"/>
      </w:pPr>
      <w:r>
        <w:rPr>
          <w:u w:val="single"/>
        </w:rPr>
        <w:t xml:space="preserve">(v) For the purposes of this subsection (3)(v), "low-income" has the same meaning as in (u)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2019 c 424 s 3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thirty-six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thirty-six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thirty-six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u w:val="single"/>
        </w:rPr>
        <w:t xml:space="preserve">(u)(i)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(3)(u), "qualifying grantee" means a nonprofit entity as defined in RCW 84.36.560, a nonprofit entity or qualified cooperative association as defined in RCW 84.36.049</w:t>
      </w:r>
      <w:r>
        <w:rPr>
          <w:u w:val="single"/>
        </w:rPr>
        <w:t xml:space="preserve">,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(u)(i)(A), (B), or (C) of this subsection and must also certify, by affidavit at the time of sale or transfer, that it intends to comply with those requirements.</w:t>
      </w:r>
    </w:p>
    <w:p>
      <w:pPr>
        <w:spacing w:before="0" w:after="0" w:line="408" w:lineRule="exact"/>
        <w:ind w:left="0" w:right="0" w:firstLine="576"/>
        <w:jc w:val="left"/>
      </w:pPr>
      <w:r>
        <w:rPr>
          <w:u w:val="single"/>
        </w:rPr>
        <w:t xml:space="preserve">(A) If the qualifying grantee intends to operate existing housing on the property, within one year of the sale or transfer:</w:t>
      </w:r>
    </w:p>
    <w:p>
      <w:pPr>
        <w:spacing w:before="0" w:after="0" w:line="408" w:lineRule="exact"/>
        <w:ind w:left="0" w:right="0" w:firstLine="576"/>
        <w:jc w:val="left"/>
      </w:pPr>
      <w:r>
        <w:rPr>
          <w:u w:val="single"/>
        </w:rPr>
        <w:t xml:space="preserve">(I) The qualifying grantee must receive or qualify the property for a tax exemption under RCW 84.36.560, 84.36.049</w:t>
      </w:r>
      <w:r>
        <w:rPr>
          <w:u w:val="single"/>
        </w:rPr>
        <w:t xml:space="preserve">, 35.82.210, 35.21.755, or 84.36.010; and</w:t>
      </w:r>
    </w:p>
    <w:p>
      <w:pPr>
        <w:spacing w:before="0" w:after="0" w:line="408" w:lineRule="exact"/>
        <w:ind w:left="0" w:right="0" w:firstLine="576"/>
        <w:jc w:val="left"/>
      </w:pPr>
      <w:r>
        <w:rPr>
          <w:u w:val="single"/>
        </w:rPr>
        <w:t xml:space="preserve">(II) The property must be used as housing for low-income persons.</w:t>
      </w:r>
    </w:p>
    <w:p>
      <w:pPr>
        <w:spacing w:before="0" w:after="0" w:line="408" w:lineRule="exact"/>
        <w:ind w:left="0" w:right="0" w:firstLine="576"/>
        <w:jc w:val="left"/>
      </w:pPr>
      <w:r>
        <w:rPr>
          <w:u w:val="single"/>
        </w:rPr>
        <w:t xml:space="preserve">(B) If the qualifying grantee intends to develop new housing on the site, within five years of the sale or transfer:</w:t>
      </w:r>
    </w:p>
    <w:p>
      <w:pPr>
        <w:spacing w:before="0" w:after="0" w:line="408" w:lineRule="exact"/>
        <w:ind w:left="0" w:right="0" w:firstLine="576"/>
        <w:jc w:val="left"/>
      </w:pPr>
      <w:r>
        <w:rPr>
          <w:u w:val="single"/>
        </w:rPr>
        <w:t xml:space="preserve">(I) The qualifying grantee must receive or qualify the property for a tax exemption under RCW 84.36.560, 84.36.049</w:t>
      </w:r>
      <w:r>
        <w:rPr>
          <w:u w:val="single"/>
        </w:rPr>
        <w:t xml:space="preserve">, 35.82.210, 35.21.755, or 84.36.010; and</w:t>
      </w:r>
    </w:p>
    <w:p>
      <w:pPr>
        <w:spacing w:before="0" w:after="0" w:line="408" w:lineRule="exact"/>
        <w:ind w:left="0" w:right="0" w:firstLine="576"/>
        <w:jc w:val="left"/>
      </w:pPr>
      <w:r>
        <w:rPr>
          <w:u w:val="single"/>
        </w:rPr>
        <w:t xml:space="preserve">(II) The property must be used as housing for low-income persons.</w:t>
      </w:r>
    </w:p>
    <w:p>
      <w:pPr>
        <w:spacing w:before="0" w:after="0" w:line="408" w:lineRule="exact"/>
        <w:ind w:left="0" w:right="0" w:firstLine="576"/>
        <w:jc w:val="left"/>
      </w:pPr>
      <w:r>
        <w:rPr>
          <w:u w:val="single"/>
        </w:rPr>
        <w:t xml:space="preserve">(C) If the qualifying grantee intends to substantially rehabilitate the premises as defined in RCW 59.18.200, within three years:</w:t>
      </w:r>
    </w:p>
    <w:p>
      <w:pPr>
        <w:spacing w:before="0" w:after="0" w:line="408" w:lineRule="exact"/>
        <w:ind w:left="0" w:right="0" w:firstLine="576"/>
        <w:jc w:val="left"/>
      </w:pPr>
      <w:r>
        <w:rPr>
          <w:u w:val="single"/>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u w:val="single"/>
        </w:rPr>
        <w:t xml:space="preserve">(II) The property must be used as housing for low-income persons.</w:t>
      </w:r>
    </w:p>
    <w:p>
      <w:pPr>
        <w:spacing w:before="0" w:after="0" w:line="408" w:lineRule="exact"/>
        <w:ind w:left="0" w:right="0" w:firstLine="576"/>
        <w:jc w:val="left"/>
      </w:pPr>
      <w:r>
        <w:rPr>
          <w:u w:val="single"/>
        </w:rPr>
        <w:t xml:space="preserve">(ii) If the qualifying grantee fails to satisfy the requirements described in (u)(i)(A), (B), or (C) of this subsection, within the timelines described in (u)(i)(A),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u w:val="single"/>
        </w:rPr>
        <w:t xml:space="preserve">(iii) If a qualifying grantee transfers the property to a different qualifying grantee within the original timelines described in (u)(i)(A), (B), or (C) of this subsection, neither the original qualifying grantee nor the new qualifying grantee is required to pay the tax, so long as the new qualifying grantee satisfies the requirements as described in (u)(i)(A), (B), or (C) of this subsection within the exemption period of the initial transfer. If the new qualifying grantee fails to satisfy the requirements described in (u)(i)(A), (B), or (C) of this subsection, only the new qualifying grantee is liable for the payment of taxes required by (u)(ii) of this subsection. There is no limit on the number of transfers between qualifying grantees within the original timelines.</w:t>
      </w:r>
    </w:p>
    <w:p>
      <w:pPr>
        <w:spacing w:before="0" w:after="0" w:line="408" w:lineRule="exact"/>
        <w:ind w:left="0" w:right="0" w:firstLine="576"/>
        <w:jc w:val="left"/>
      </w:pPr>
      <w:r>
        <w:rPr>
          <w:u w:val="single"/>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(u)(i)(A), (B), or (C) of this subsection have been satisfied.</w:t>
      </w:r>
    </w:p>
    <w:p>
      <w:pPr>
        <w:spacing w:before="0" w:after="0" w:line="408" w:lineRule="exact"/>
        <w:ind w:left="0" w:right="0" w:firstLine="576"/>
        <w:jc w:val="left"/>
      </w:pPr>
      <w:r>
        <w:rPr>
          <w:u w:val="single"/>
        </w:rPr>
        <w:t xml:space="preserve">(v) For the purposes of this subsection (3)(u), "low-income" means household income as defined by the department, provided that the definition may not exceed 80 percent of median household income, adjusted for household size, for the county in which the dwelling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expiration date provisions of RCW 82.32.805(1)(a) do not apply to the tax preferences in sections 3 and 4, chapter . . ., Laws of 2022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1f7d337cf903456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72bf47cca54c5f" /><Relationship Type="http://schemas.openxmlformats.org/officeDocument/2006/relationships/footer" Target="/word/footer1.xml" Id="R1f7d337cf9034561" /></Relationships>
</file>