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e331ecf664f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1613</w:t>
      </w:r>
    </w:p>
    <w:p>
      <w:pPr>
        <w:jc w:val="center"/>
        <w:spacing w:before="480" w:after="0" w:line="240"/>
      </w:pPr>
      <w:r>
        <w:t xml:space="preserve">Chapter </w:t>
      </w:r>
      <w:r>
        <w:rPr/>
        <w:t xml:space="preserve">18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PAID FAMILY AND MEDICAL LEAVE AND LONG-TERM SERVICES AND SUPPORTS TRUST PROGRAMS—DATA CONFIDENTIALITY</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86</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45</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1613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1613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Sells, Berry, Ryu, Wicks, Taylor, Simmons, Kloba, and Harris-Talley; by request of Employment Security Department</w:t>
      </w:r>
    </w:p>
    <w:p/>
    <w:p>
      <w:r>
        <w:rPr>
          <w:t xml:space="preserve">Prefiled 12/07/21.</w:t>
        </w:rPr>
      </w:r>
      <w:r>
        <w:rPr>
          <w:t xml:space="preserve">Read first time 01/10/22.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shared reporting responsibilities for both the paid family and medical leave and the long-term services and supports trust programs to clarify that information collected from employer reports shall remain private; amending RCW 50A.25.070 and 50A.25.110; and adding a new section to chapter 50B.04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information or records concerning an individual or employer obtained by the employment security department for the purposes of collecting and assessing employee premiums under RCW 50B.04.080 and determining qualified individuals under RCW 50B.04.050 will be considered private and confidential in the same manner provided in chapter 50A.25 RCW.</w:t>
      </w:r>
    </w:p>
    <w:p>
      <w:pPr>
        <w:spacing w:before="0" w:after="0" w:line="408" w:lineRule="exact"/>
        <w:ind w:left="0" w:right="0" w:firstLine="576"/>
        <w:jc w:val="left"/>
      </w:pPr>
      <w:r>
        <w:rPr/>
        <w:t xml:space="preserve">(2) This section does not create a rule of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070</w:t>
      </w:r>
      <w:r>
        <w:rPr/>
        <w:t xml:space="preserve"> and 2020 c 125 s 8 are each amended to read as follows:</w:t>
      </w:r>
    </w:p>
    <w:p>
      <w:pPr>
        <w:spacing w:before="0" w:after="0" w:line="408" w:lineRule="exact"/>
        <w:ind w:left="0" w:right="0" w:firstLine="576"/>
        <w:jc w:val="left"/>
      </w:pPr>
      <w:r>
        <w:rPr/>
        <w:t xml:space="preserve">(1) The department may enter into data-sharing contracts and may disclose records and information deemed confidential to state or local government agencies under this chapter only if permitted under subsection (2) of this section and RCW 50A.25.090. A state or local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or local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or local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or local government agencies:</w:t>
      </w:r>
    </w:p>
    <w:p>
      <w:pPr>
        <w:spacing w:before="0" w:after="0" w:line="408" w:lineRule="exact"/>
        <w:ind w:left="0" w:right="0" w:firstLine="576"/>
        <w:jc w:val="left"/>
      </w:pPr>
      <w:r>
        <w:rPr/>
        <w:t xml:space="preserve">(a) To the department of social and health services to identify child support obligations as defined in RCW 50A.15.080 </w:t>
      </w:r>
      <w:r>
        <w:rPr>
          <w:u w:val="single"/>
        </w:rPr>
        <w:t xml:space="preserve">and for the purposes of administering the department's responsibilities under Title 50B RCW</w:t>
      </w:r>
      <w:r>
        <w:rPr/>
        <w:t xml:space="preserve">;</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 </w:t>
      </w:r>
      <w:r>
        <w:t>((</w:t>
      </w:r>
      <w:r>
        <w:rPr>
          <w:strike/>
        </w:rPr>
        <w:t xml:space="preserve">and</w:t>
      </w:r>
      <w:r>
        <w:t>))</w:t>
      </w:r>
    </w:p>
    <w:p>
      <w:pPr>
        <w:spacing w:before="0" w:after="0" w:line="408" w:lineRule="exact"/>
        <w:ind w:left="0" w:right="0" w:firstLine="576"/>
        <w:jc w:val="left"/>
      </w:pPr>
      <w:r>
        <w:rPr/>
        <w:t xml:space="preserve">(j) To the consolidated technology services agency for the purpose of enterprise technology support</w:t>
      </w:r>
      <w:r>
        <w:rPr>
          <w:u w:val="single"/>
        </w:rPr>
        <w:t xml:space="preserve">; and</w:t>
      </w:r>
    </w:p>
    <w:p>
      <w:pPr>
        <w:spacing w:before="0" w:after="0" w:line="408" w:lineRule="exact"/>
        <w:ind w:left="0" w:right="0" w:firstLine="576"/>
        <w:jc w:val="left"/>
      </w:pPr>
      <w:r>
        <w:rPr>
          <w:u w:val="single"/>
        </w:rPr>
        <w:t xml:space="preserve">(k) To the health care authority and the office of the state actuary for the purposes of administering the department's responsibilities under Title 50B RCW.</w:t>
      </w:r>
    </w:p>
    <w:p>
      <w:pPr>
        <w:spacing w:before="0" w:after="0" w:line="408" w:lineRule="exact"/>
        <w:ind w:left="0" w:right="0" w:firstLine="576"/>
        <w:jc w:val="left"/>
      </w:pPr>
      <w:r>
        <w:rPr>
          <w:u w:val="single"/>
        </w:rPr>
        <w:t xml:space="preserve">(3) The department may also enter into data-sharing agreements with other state or local government agencies solely for the purposes of program evaluation under this title or Title 50B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110</w:t>
      </w:r>
      <w:r>
        <w:rPr/>
        <w:t xml:space="preserve"> and 2019 c 13 s 80 are each amended to read as follows:</w:t>
      </w:r>
    </w:p>
    <w:p>
      <w:pPr>
        <w:spacing w:before="0" w:after="0" w:line="408" w:lineRule="exact"/>
        <w:ind w:left="0" w:right="0" w:firstLine="576"/>
        <w:jc w:val="left"/>
      </w:pPr>
      <w:r>
        <w:rPr/>
        <w:t xml:space="preserve">The </w:t>
      </w:r>
      <w:r>
        <w:rPr>
          <w:u w:val="single"/>
        </w:rPr>
        <w:t xml:space="preserve">paid</w:t>
      </w:r>
      <w:r>
        <w:rPr/>
        <w:t xml:space="preserve"> family and medical leave program of the department </w:t>
      </w:r>
      <w:r>
        <w:rPr>
          <w:u w:val="single"/>
        </w:rPr>
        <w:t xml:space="preserve">and the long-term services and supports trust administering agencies</w:t>
      </w:r>
      <w:r>
        <w:rPr/>
        <w:t xml:space="preserve"> may disclose information or records deemed private and confidential under this chapter to any private person or organization, and by extension, the agents of any private person or organization, when the disclosure is necessary to permit private contracting parties to assist in the operation, management, and implementation of the program in instances where certain departmental functions may be delegated to private parties to increase the department's efficiency or quality of service to the public. The private person or organization shall use the information or records solely for the purpose for which the information was disclosed and shall be bound by the same rules of privacy and confidentiality as department employees.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aea81e9dc76146b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4e4787ee864e3a" /><Relationship Type="http://schemas.openxmlformats.org/officeDocument/2006/relationships/footer" Target="/word/footer1.xml" Id="Raea81e9dc76146b6" /></Relationships>
</file>