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8e3e87126844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1423</w:t>
      </w:r>
    </w:p>
    <w:p>
      <w:pPr>
        <w:jc w:val="center"/>
        <w:spacing w:before="480" w:after="0" w:line="240"/>
      </w:pPr>
      <w:r>
        <w:t xml:space="preserve">Chapter </w:t>
      </w:r>
      <w:r>
        <w:rPr/>
        <w:t xml:space="preserve">132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DEPARTMENT OF NATURAL RESOURCES BURNING PERMITS—CIVIL PENALTY</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44</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1423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Representatives Fitzgibbon, Springer, and Dent; by request of Department of Natural Resources)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smoke management civil enforcement; amending RCW 70A.15.3160 and 76.04.205;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or 70A.450 RCW, RCW 70A.45.080 </w:t>
      </w:r>
      <w:r>
        <w:rPr>
          <w:u w:val="single"/>
        </w:rPr>
        <w:t xml:space="preserve">or 76.04.205</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 </w:t>
      </w:r>
      <w:r>
        <w:rPr>
          <w:u w:val="single"/>
        </w:rPr>
        <w:t xml:space="preserve">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w:t>
      </w:r>
      <w:r>
        <w:rPr>
          <w:u w:val="single"/>
        </w:rPr>
        <w:t xml:space="preserve">or the department of natural resources</w:t>
      </w:r>
      <w:r>
        <w:rPr/>
        <w:t xml:space="preserve">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t xml:space="preserve">(4) The department, authorized employees thereof, or any warden or ranger may refuse, revoke, or postpone the use of permits to burn when necessary for the safety of adjacent property or when necessary in their judgment to prevent air pollution as provided in chapter </w:t>
      </w:r>
      <w:r>
        <w:t>((</w:t>
      </w:r>
      <w:r>
        <w:rPr>
          <w:strike/>
        </w:rPr>
        <w:t xml:space="preserve">70.94</w:t>
      </w:r>
      <w:r>
        <w:t>))</w:t>
      </w:r>
      <w:r>
        <w:rPr/>
        <w:t xml:space="preserve"> </w:t>
      </w:r>
      <w:r>
        <w:rPr>
          <w:u w:val="single"/>
        </w:rPr>
        <w:t xml:space="preserve">70A.15</w:t>
      </w:r>
      <w:r>
        <w:rPr/>
        <w:t xml:space="preserve"> RCW.</w:t>
      </w:r>
    </w:p>
    <w:p>
      <w:pPr>
        <w:spacing w:before="0" w:after="0" w:line="408" w:lineRule="exact"/>
        <w:ind w:left="0" w:right="0" w:firstLine="576"/>
        <w:jc w:val="left"/>
      </w:pPr>
      <w:r>
        <w:rPr>
          <w:u w:val="single"/>
        </w:rPr>
        <w:t xml:space="preserve">(5) Any person who violates this section, any permit issued under this section, any rules that implement this section, or the silvicultural burning provisions set forth in chapter 70A.15 RCW, may incur a civil penalty pursuant to RCW 70A.15.3160. The department shall adopt a rule that establishes: (a) A framework for resolving conflicts that may arise related to this section, including the issuance of civil penalties pursuant to RCW 70A.15.3160 for violations of this section; and (b) the method by which penalties issued pursuant to RCW 70A.15.3160 for violations of this section will be calculated. The department shall conduct a public process to solicit input on the development of the rule.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8ecf9f52a3e24db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94c4f146074918" /><Relationship Type="http://schemas.openxmlformats.org/officeDocument/2006/relationships/footer" Target="/word/footer1.xml" Id="R8ecf9f52a3e24db5" /></Relationships>
</file>