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2137d4ea474c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1411</w:t>
      </w:r>
    </w:p>
    <w:p>
      <w:pPr>
        <w:jc w:val="center"/>
        <w:spacing w:before="480" w:after="0" w:line="240"/>
      </w:pPr>
      <w:r>
        <w:t xml:space="preserve">Chapter </w:t>
      </w:r>
      <w:r>
        <w:rPr/>
        <w:t xml:space="preserve">219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HEALTH CARE WORKFORCE ELIGIBILITY—CRIMINAL RECORDS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6,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2021</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29</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Simmons, Davis, Santos, Valdez, Berry, and Fitzgibbon)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workforce eligibility for persons with prior involvement with the criminal justice system; amending RCW 9.97.020, 43.20A.710, 70.128.120, 70.128.120, and 70.128.130; adding a new section to chapter 43.20A RCW; adding a new section to chapter 74.39A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Where the department is required to screen a long-term care worker, contracted provider, or licensee through a background check to determine whether the person has a history that would disqualify the person from having unsupervised access to, working with, or providing supervision, care, or treatment to vulnerable adults or children, the department may not automatically disqualify a person on the basis of a criminal record that includes a conviction of any of the following crimes once the specified amount of time has passed for the particular crime:</w:t>
      </w:r>
    </w:p>
    <w:p>
      <w:pPr>
        <w:spacing w:before="0" w:after="0" w:line="408" w:lineRule="exact"/>
        <w:ind w:left="0" w:right="0" w:firstLine="576"/>
        <w:jc w:val="left"/>
      </w:pPr>
      <w:r>
        <w:rPr/>
        <w:t xml:space="preserve">(a) Selling marijuana to a person under RCW 69.50.401 after three years or more have passed between the most recent conviction and the date the background check is processed;</w:t>
      </w:r>
    </w:p>
    <w:p>
      <w:pPr>
        <w:spacing w:before="0" w:after="0" w:line="408" w:lineRule="exact"/>
        <w:ind w:left="0" w:right="0" w:firstLine="576"/>
        <w:jc w:val="left"/>
      </w:pPr>
      <w:r>
        <w:rPr/>
        <w:t xml:space="preserve">(b) Theft in the first degree under RCW 9A.56.030 after 10 years or more have passed between the most recent conviction and the date the background check is processed;</w:t>
      </w:r>
    </w:p>
    <w:p>
      <w:pPr>
        <w:spacing w:before="0" w:after="0" w:line="408" w:lineRule="exact"/>
        <w:ind w:left="0" w:right="0" w:firstLine="576"/>
        <w:jc w:val="left"/>
      </w:pPr>
      <w:r>
        <w:rPr/>
        <w:t xml:space="preserve">(c) Robbery in the second degree under RCW 9A.56.210 after five years or more have passed between the most recent conviction and the date the background check is processed;</w:t>
      </w:r>
    </w:p>
    <w:p>
      <w:pPr>
        <w:spacing w:before="0" w:after="0" w:line="408" w:lineRule="exact"/>
        <w:ind w:left="0" w:right="0" w:firstLine="576"/>
        <w:jc w:val="left"/>
      </w:pPr>
      <w:r>
        <w:rPr/>
        <w:t xml:space="preserve">(d) Extortion in the second degree under RCW 9A.56.130 after five years or more have passed between the most recent conviction and the date the background check is processed;</w:t>
      </w:r>
    </w:p>
    <w:p>
      <w:pPr>
        <w:spacing w:before="0" w:after="0" w:line="408" w:lineRule="exact"/>
        <w:ind w:left="0" w:right="0" w:firstLine="576"/>
        <w:jc w:val="left"/>
      </w:pPr>
      <w:r>
        <w:rPr/>
        <w:t xml:space="preserve">(e) Assault in the second degree under RCW 9A.36.021 after five years or more have passed between the most recent conviction and the date the background check is processed; and</w:t>
      </w:r>
    </w:p>
    <w:p>
      <w:pPr>
        <w:spacing w:before="0" w:after="0" w:line="408" w:lineRule="exact"/>
        <w:ind w:left="0" w:right="0" w:firstLine="576"/>
        <w:jc w:val="left"/>
      </w:pPr>
      <w:r>
        <w:rPr/>
        <w:t xml:space="preserve">(f) Assault in the third degree under RCW 9A.36.031 after five years or more have passed between the most recent conviction and the date the background check is processed.</w:t>
      </w:r>
    </w:p>
    <w:p>
      <w:pPr>
        <w:spacing w:before="0" w:after="0" w:line="408" w:lineRule="exact"/>
        <w:ind w:left="0" w:right="0" w:firstLine="576"/>
        <w:jc w:val="left"/>
      </w:pPr>
      <w:r>
        <w:rPr/>
        <w:t xml:space="preserve">(2) The provisions of subsection (1) of this section do not apply where the department is performing background checks for the department of children, youth, and families.</w:t>
      </w:r>
    </w:p>
    <w:p>
      <w:pPr>
        <w:spacing w:before="0" w:after="0" w:line="408" w:lineRule="exact"/>
        <w:ind w:left="0" w:right="0" w:firstLine="576"/>
        <w:jc w:val="left"/>
      </w:pPr>
      <w:r>
        <w:rPr/>
        <w:t xml:space="preserve">(3) The provisions of subsection (1) of this section do not apply to department employees or applicants for department positions except for positions in the state-operated community residential program.</w:t>
      </w:r>
    </w:p>
    <w:p>
      <w:pPr>
        <w:spacing w:before="0" w:after="0" w:line="408" w:lineRule="exact"/>
        <w:ind w:left="0" w:right="0" w:firstLine="576"/>
        <w:jc w:val="left"/>
      </w:pPr>
      <w:r>
        <w:rPr/>
        <w:t xml:space="preserve">(4) Notwithstanding subsection (1) of this section, a long-term care worker, contracted provider, or licensee may not provide, or be paid to provide, care to children or vulnerable adults under the medicare or medicaid programs if the worker is excluded from participating in those programs by federal law.</w:t>
      </w:r>
    </w:p>
    <w:p>
      <w:pPr>
        <w:spacing w:before="0" w:after="0" w:line="408" w:lineRule="exact"/>
        <w:ind w:left="0" w:right="0" w:firstLine="576"/>
        <w:jc w:val="left"/>
      </w:pPr>
      <w:r>
        <w:rPr/>
        <w:t xml:space="preserve">(5) The department, a contracted provider, or a licensee, when conducting a character, competence, and suitability review for the purpose of hiring, licensing, certifying, contracting with, permitting, or continuing to permit a person to be employed in any position caring for or having unsupervised access to vulnerable adults or children, may, in its sole discretion, determine whether to consider any of the convictions identified in subsection (1) of this section. If the department or a consumer directed employer as defined in RCW 74.39A.009 determines that an individual with any of the convictions identified in subsection (1) of this section is qualified to provide services to a department client as an individual provider as defined in RCW 74.39A.240, the department or the consumer directed employer must provide the client, and their guardian if any, with the results of the state background check for their determination of character, suitability, and competence of the individual before the individual begins providing services. The department, a contracted provider, or a licensee, when conducting a character, competence, and suitability review for the purpose of hiring, licensing, certifying, contracting with, permitting, or continuing to permit a person to be employed in any position caring for or having unsupervised access to vulnerable adults or children, has a rebuttable presumption that its exercise of discretion under this section or the refusal to exercise such discretion was appropriate. This subsection does not create a duty for the department to conduct a character, competence, and suitability review.</w:t>
      </w:r>
    </w:p>
    <w:p>
      <w:pPr>
        <w:spacing w:before="0" w:after="0" w:line="408" w:lineRule="exact"/>
        <w:ind w:left="0" w:right="0" w:firstLine="576"/>
        <w:jc w:val="left"/>
      </w:pPr>
      <w:r>
        <w:rPr/>
        <w:t xml:space="preserve">(6) For the purposes of the section:</w:t>
      </w:r>
    </w:p>
    <w:p>
      <w:pPr>
        <w:spacing w:before="0" w:after="0" w:line="408" w:lineRule="exact"/>
        <w:ind w:left="0" w:right="0" w:firstLine="576"/>
        <w:jc w:val="left"/>
      </w:pPr>
      <w:r>
        <w:rPr/>
        <w:t xml:space="preserve">(a) "Contracted provider" means a provider, and its employees, contracted with the department or an area agency on aging to provide services to department clients under programs under chapter 74.09, 74.39, 74.39A, or 71A.12 RCW. "Contracted provider" includes area agencies on aging and their subcontractors who provide case management.</w:t>
      </w:r>
    </w:p>
    <w:p>
      <w:pPr>
        <w:spacing w:before="0" w:after="0" w:line="408" w:lineRule="exact"/>
        <w:ind w:left="0" w:right="0" w:firstLine="576"/>
        <w:jc w:val="left"/>
      </w:pPr>
      <w:r>
        <w:rPr/>
        <w:t xml:space="preserve">(b) "Licensee" means a nonstate facility or setting that is licensed or certified, or has applied to be licensed or certified, by the department and includes the licensee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facilitate a work group dedicated to expanding the long-term care workforce while continuing to recognize the importance of protecting vulnerable adults, racial equity in client choice, just compensation for unpaid care work while preserving choice for those who wish to be informal caregivers without pay, and paid services. The work group shall identify recommendations on informed choice through a process by which older adults and people with disabilities may hire a trusted individual with a criminal record that would otherwise disqualify the person from providing paid home care services under this chapter. The work group's recommendations on the informed choice process shall include:</w:t>
      </w:r>
    </w:p>
    <w:p>
      <w:pPr>
        <w:spacing w:before="0" w:after="0" w:line="408" w:lineRule="exact"/>
        <w:ind w:left="0" w:right="0" w:firstLine="576"/>
        <w:jc w:val="left"/>
      </w:pPr>
      <w:r>
        <w:rPr/>
        <w:t xml:space="preserve">(a) Client safety;</w:t>
      </w:r>
    </w:p>
    <w:p>
      <w:pPr>
        <w:spacing w:before="0" w:after="0" w:line="408" w:lineRule="exact"/>
        <w:ind w:left="0" w:right="0" w:firstLine="576"/>
        <w:jc w:val="left"/>
      </w:pPr>
      <w:r>
        <w:rPr/>
        <w:t xml:space="preserve">(b) Client direction;</w:t>
      </w:r>
    </w:p>
    <w:p>
      <w:pPr>
        <w:spacing w:before="0" w:after="0" w:line="408" w:lineRule="exact"/>
        <w:ind w:left="0" w:right="0" w:firstLine="576"/>
        <w:jc w:val="left"/>
      </w:pPr>
      <w:r>
        <w:rPr/>
        <w:t xml:space="preserve">(c) Racial equity;</w:t>
      </w:r>
    </w:p>
    <w:p>
      <w:pPr>
        <w:spacing w:before="0" w:after="0" w:line="408" w:lineRule="exact"/>
        <w:ind w:left="0" w:right="0" w:firstLine="576"/>
        <w:jc w:val="left"/>
      </w:pPr>
      <w:r>
        <w:rPr/>
        <w:t xml:space="preserve">(d) Cultural competence;</w:t>
      </w:r>
    </w:p>
    <w:p>
      <w:pPr>
        <w:spacing w:before="0" w:after="0" w:line="408" w:lineRule="exact"/>
        <w:ind w:left="0" w:right="0" w:firstLine="576"/>
        <w:jc w:val="left"/>
      </w:pPr>
      <w:r>
        <w:rPr/>
        <w:t xml:space="preserve">(e) Economic consequences of unpaid caregiving on caregivers and people receiving care;</w:t>
      </w:r>
    </w:p>
    <w:p>
      <w:pPr>
        <w:spacing w:before="0" w:after="0" w:line="408" w:lineRule="exact"/>
        <w:ind w:left="0" w:right="0" w:firstLine="576"/>
        <w:jc w:val="left"/>
      </w:pPr>
      <w:r>
        <w:rPr/>
        <w:t xml:space="preserve">(f) Categories of eligible workers (family, friend, trusted individuals, or others);</w:t>
      </w:r>
    </w:p>
    <w:p>
      <w:pPr>
        <w:spacing w:before="0" w:after="0" w:line="408" w:lineRule="exact"/>
        <w:ind w:left="0" w:right="0" w:firstLine="576"/>
        <w:jc w:val="left"/>
      </w:pPr>
      <w:r>
        <w:rPr/>
        <w:t xml:space="preserve">(g) Disqualifying crimes, if any;</w:t>
      </w:r>
    </w:p>
    <w:p>
      <w:pPr>
        <w:spacing w:before="0" w:after="0" w:line="408" w:lineRule="exact"/>
        <w:ind w:left="0" w:right="0" w:firstLine="576"/>
        <w:jc w:val="left"/>
      </w:pPr>
      <w:r>
        <w:rPr/>
        <w:t xml:space="preserve">(h) Mechanisms for consideration (attestation, petition, other); and</w:t>
      </w:r>
    </w:p>
    <w:p>
      <w:pPr>
        <w:spacing w:before="0" w:after="0" w:line="408" w:lineRule="exact"/>
        <w:ind w:left="0" w:right="0" w:firstLine="576"/>
        <w:jc w:val="left"/>
      </w:pPr>
      <w:r>
        <w:rPr/>
        <w:t xml:space="preserve">(i) Workforce development.</w:t>
      </w:r>
    </w:p>
    <w:p>
      <w:pPr>
        <w:spacing w:before="0" w:after="0" w:line="408" w:lineRule="exact"/>
        <w:ind w:left="0" w:right="0" w:firstLine="576"/>
        <w:jc w:val="left"/>
      </w:pPr>
      <w:r>
        <w:rPr/>
        <w:t xml:space="preserve">(2)(a) The work group shall consist of:</w:t>
      </w:r>
    </w:p>
    <w:p>
      <w:pPr>
        <w:spacing w:before="0" w:after="0" w:line="408" w:lineRule="exact"/>
        <w:ind w:left="0" w:right="0" w:firstLine="576"/>
        <w:jc w:val="left"/>
      </w:pPr>
      <w:r>
        <w:rPr/>
        <w:t xml:space="preserve">(i) Two representatives from the department;</w:t>
      </w:r>
    </w:p>
    <w:p>
      <w:pPr>
        <w:spacing w:before="0" w:after="0" w:line="408" w:lineRule="exact"/>
        <w:ind w:left="0" w:right="0" w:firstLine="576"/>
        <w:jc w:val="left"/>
      </w:pPr>
      <w:r>
        <w:rPr/>
        <w:t xml:space="preserve">(ii) Two representatives from community-based organizations that represent people with criminal records;</w:t>
      </w:r>
    </w:p>
    <w:p>
      <w:pPr>
        <w:spacing w:before="0" w:after="0" w:line="408" w:lineRule="exact"/>
        <w:ind w:left="0" w:right="0" w:firstLine="576"/>
        <w:jc w:val="left"/>
      </w:pPr>
      <w:r>
        <w:rPr/>
        <w:t xml:space="preserve">(iii) One representative from a community-based organization that represents Black communities;</w:t>
      </w:r>
    </w:p>
    <w:p>
      <w:pPr>
        <w:spacing w:before="0" w:after="0" w:line="408" w:lineRule="exact"/>
        <w:ind w:left="0" w:right="0" w:firstLine="576"/>
        <w:jc w:val="left"/>
      </w:pPr>
      <w:r>
        <w:rPr/>
        <w:t xml:space="preserve">(iv) Two representatives, one from the west side of the Cascade mountains and one from the east side of the Cascade mountains, from federally recognized tribes;</w:t>
      </w:r>
    </w:p>
    <w:p>
      <w:pPr>
        <w:spacing w:before="0" w:after="0" w:line="408" w:lineRule="exact"/>
        <w:ind w:left="0" w:right="0" w:firstLine="576"/>
        <w:jc w:val="left"/>
      </w:pPr>
      <w:r>
        <w:rPr/>
        <w:t xml:space="preserve">(v) One representative from a community-based organization that represents immigrant populations or persons of color;</w:t>
      </w:r>
    </w:p>
    <w:p>
      <w:pPr>
        <w:spacing w:before="0" w:after="0" w:line="408" w:lineRule="exact"/>
        <w:ind w:left="0" w:right="0" w:firstLine="576"/>
        <w:jc w:val="left"/>
      </w:pPr>
      <w:r>
        <w:rPr/>
        <w:t xml:space="preserve">(vi) Three representatives from the union representing the majority of long-term care workers in Washington;</w:t>
      </w:r>
    </w:p>
    <w:p>
      <w:pPr>
        <w:spacing w:before="0" w:after="0" w:line="408" w:lineRule="exact"/>
        <w:ind w:left="0" w:right="0" w:firstLine="576"/>
        <w:jc w:val="left"/>
      </w:pPr>
      <w:r>
        <w:rPr/>
        <w:t xml:space="preserve">(vii) One representative of a consumer-directed employer;</w:t>
      </w:r>
    </w:p>
    <w:p>
      <w:pPr>
        <w:spacing w:before="0" w:after="0" w:line="408" w:lineRule="exact"/>
        <w:ind w:left="0" w:right="0" w:firstLine="576"/>
        <w:jc w:val="left"/>
      </w:pPr>
      <w:r>
        <w:rPr/>
        <w:t xml:space="preserve">(viii) One representative of an association representing area agencies on aging in Washington;</w:t>
      </w:r>
    </w:p>
    <w:p>
      <w:pPr>
        <w:spacing w:before="0" w:after="0" w:line="408" w:lineRule="exact"/>
        <w:ind w:left="0" w:right="0" w:firstLine="576"/>
        <w:jc w:val="left"/>
      </w:pPr>
      <w:r>
        <w:rPr/>
        <w:t xml:space="preserve">(ix) One representative from the office of the state long-term care ombuds;</w:t>
      </w:r>
    </w:p>
    <w:p>
      <w:pPr>
        <w:spacing w:before="0" w:after="0" w:line="408" w:lineRule="exact"/>
        <w:ind w:left="0" w:right="0" w:firstLine="576"/>
        <w:jc w:val="left"/>
      </w:pPr>
      <w:r>
        <w:rPr/>
        <w:t xml:space="preserve">(x) One representative from the office of the state developmental disability ombuds;</w:t>
      </w:r>
    </w:p>
    <w:p>
      <w:pPr>
        <w:spacing w:before="0" w:after="0" w:line="408" w:lineRule="exact"/>
        <w:ind w:left="0" w:right="0" w:firstLine="576"/>
        <w:jc w:val="left"/>
      </w:pPr>
      <w:r>
        <w:rPr/>
        <w:t xml:space="preserve">(xi) One representative of an association representing medicaid home care agencies;</w:t>
      </w:r>
    </w:p>
    <w:p>
      <w:pPr>
        <w:spacing w:before="0" w:after="0" w:line="408" w:lineRule="exact"/>
        <w:ind w:left="0" w:right="0" w:firstLine="576"/>
        <w:jc w:val="left"/>
      </w:pPr>
      <w:r>
        <w:rPr/>
        <w:t xml:space="preserve">(xii) One representative from the Washington state attorney general's office;</w:t>
      </w:r>
    </w:p>
    <w:p>
      <w:pPr>
        <w:spacing w:before="0" w:after="0" w:line="408" w:lineRule="exact"/>
        <w:ind w:left="0" w:right="0" w:firstLine="576"/>
        <w:jc w:val="left"/>
      </w:pPr>
      <w:r>
        <w:rPr/>
        <w:t xml:space="preserve">(xiii) Four representatives from organizations representing seniors and individuals with physical or developmental disabilities;</w:t>
      </w:r>
    </w:p>
    <w:p>
      <w:pPr>
        <w:spacing w:before="0" w:after="0" w:line="408" w:lineRule="exact"/>
        <w:ind w:left="0" w:right="0" w:firstLine="576"/>
        <w:jc w:val="left"/>
      </w:pPr>
      <w:r>
        <w:rPr/>
        <w:t xml:space="preserve">(xiv) Two representatives who are current or previous consumers of personal care services and who represent the diversity of the disability community; and</w:t>
      </w:r>
    </w:p>
    <w:p>
      <w:pPr>
        <w:spacing w:before="0" w:after="0" w:line="408" w:lineRule="exact"/>
        <w:ind w:left="0" w:right="0" w:firstLine="576"/>
        <w:jc w:val="left"/>
      </w:pPr>
      <w:r>
        <w:rPr/>
        <w:t xml:space="preserve">(xv) Two representatives who receive unpaid care from individuals who are unable to become medicaid paid home care workers because of disqualifying convictions.</w:t>
      </w:r>
    </w:p>
    <w:p>
      <w:pPr>
        <w:spacing w:before="0" w:after="0" w:line="408" w:lineRule="exact"/>
        <w:ind w:left="0" w:right="0" w:firstLine="576"/>
        <w:jc w:val="left"/>
      </w:pPr>
      <w:r>
        <w:rPr/>
        <w:t xml:space="preserve">(b) The department shall invite the participation of persons with expertise in the background check process to provide advice and consultation to the work group with respect to the development of the proposed process under subsection (1) of this section.</w:t>
      </w:r>
    </w:p>
    <w:p>
      <w:pPr>
        <w:spacing w:before="0" w:after="0" w:line="408" w:lineRule="exact"/>
        <w:ind w:left="0" w:right="0" w:firstLine="576"/>
        <w:jc w:val="left"/>
      </w:pPr>
      <w:r>
        <w:rPr/>
        <w:t xml:space="preserve">(c) Appointments to the work group shall be made by the department. The department shall convene the meetings of the work group and serve as the facilitator.</w:t>
      </w:r>
    </w:p>
    <w:p>
      <w:pPr>
        <w:spacing w:before="0" w:after="0" w:line="408" w:lineRule="exact"/>
        <w:ind w:left="0" w:right="0" w:firstLine="576"/>
        <w:jc w:val="left"/>
      </w:pPr>
      <w:r>
        <w:rPr/>
        <w:t xml:space="preserve">(3) The work group shall devote at least one meeting to reviewing and analyzing racial disparities relevant to the work group's direction under subsection (1) of this section, including disparities in charges and disqualifications in providing paid home care services under this chapter.</w:t>
      </w:r>
    </w:p>
    <w:p>
      <w:pPr>
        <w:spacing w:before="0" w:after="0" w:line="408" w:lineRule="exact"/>
        <w:ind w:left="0" w:right="0" w:firstLine="576"/>
        <w:jc w:val="left"/>
      </w:pPr>
      <w:r>
        <w:rPr/>
        <w:t xml:space="preserve">(4) The work group must submit its recommendations to the legislature by December 1, 2022. The recommendations must include a proposed process for clients to hire a trusted individual with a criminal record. The proposed process must include a recommended communication strategy to inform older adults and people with disabilities in Washington about the process.</w:t>
      </w:r>
    </w:p>
    <w:p>
      <w:pPr>
        <w:spacing w:before="0" w:after="0" w:line="408" w:lineRule="exact"/>
        <w:ind w:left="0" w:right="0" w:firstLine="576"/>
        <w:jc w:val="left"/>
      </w:pPr>
      <w:r>
        <w:rPr/>
        <w:t xml:space="preserve">(5)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2017 3rd sp.s. c 6 s 806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w:t>
      </w:r>
      <w:r>
        <w:t>((</w:t>
      </w:r>
      <w:r>
        <w:rPr>
          <w:strike/>
        </w:rPr>
        <w:t xml:space="preserve">assisted living facilities employees, RCW 18.20.125;</w:t>
      </w:r>
      <w:r>
        <w:t>))</w:t>
      </w:r>
      <w:r>
        <w:rPr/>
        <w:t xml:space="preserve"> bail bond agents, RCW 18.185.020; escrow agents, RCW 18.44.241; </w:t>
      </w:r>
      <w:r>
        <w:t>((</w:t>
      </w:r>
      <w:r>
        <w:rPr>
          <w:strike/>
        </w:rPr>
        <w:t xml:space="preserve">long-term care workers, RCW 18.88B.080;</w:t>
      </w:r>
      <w:r>
        <w:t>))</w:t>
      </w:r>
      <w:r>
        <w:rPr/>
        <w:t xml:space="preserve"> nursing home administrators, RCW 18.52.071; nursing, chapter 18.79 RCW; physicians and physician assistants, chapters 18.71 and 18.71A RCW; private investigators, RCW 18.165.030; receivers, RCW 7.60.035; teachers, chapters 28A.405 and 28A.410 RCW; notaries public, chapter 42.45 RCW; private investigators, chapter 18.165 RCW; real estate brokers and salespersons, chapters 18.85 and 18.86 RCW; security guards, chapter 18.170 RCW; and vulnerable adult care providers, RCW 43.43.842</w:t>
      </w:r>
      <w:r>
        <w:rPr>
          <w:u w:val="single"/>
        </w:rPr>
        <w:t xml:space="preserve">, who are not home care aides, chapter 18.88B RCW, or contracted providers or licensees as defined in section 1 of this act</w:t>
      </w:r>
      <w:r>
        <w:rPr/>
        <w:t xml:space="preserve">.</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w:t>
      </w:r>
      <w:r>
        <w:t>((</w:t>
      </w:r>
      <w:r>
        <w:rPr>
          <w:strike/>
        </w:rPr>
        <w:t xml:space="preserve">addressed in statute</w:t>
      </w:r>
      <w:r>
        <w:t>))</w:t>
      </w:r>
      <w:r>
        <w:rPr/>
        <w:t xml:space="preserve"> </w:t>
      </w:r>
      <w:r>
        <w:rPr>
          <w:u w:val="single"/>
        </w:rPr>
        <w:t xml:space="preserve">prohibited by law</w:t>
      </w:r>
      <w:r>
        <w:rPr/>
        <w:t xml:space="preserve">, in cases where an applicant would be disqualified under RCW </w:t>
      </w:r>
      <w:r>
        <w:t>((</w:t>
      </w:r>
      <w:r>
        <w:rPr>
          <w:strike/>
        </w:rPr>
        <w:t xml:space="preserve">43.20A.710</w:t>
      </w:r>
      <w:r>
        <w:t>))</w:t>
      </w:r>
      <w:r>
        <w:rPr/>
        <w:t xml:space="preserve"> </w:t>
      </w:r>
      <w:r>
        <w:rPr>
          <w:u w:val="single"/>
        </w:rPr>
        <w:t xml:space="preserve">43.216.170</w:t>
      </w:r>
      <w:r>
        <w:rPr/>
        <w:t xml:space="preserve">, and the applicant has obtained a certificate of restoration of opportunity </w:t>
      </w:r>
      <w:r>
        <w:rPr>
          <w:u w:val="single"/>
        </w:rPr>
        <w:t xml:space="preserve">for a disqualifying conviction</w:t>
      </w:r>
      <w:r>
        <w:rPr/>
        <w:t xml:space="preserve">, </w:t>
      </w:r>
      <w:r>
        <w:t>((</w:t>
      </w:r>
      <w:r>
        <w:rPr>
          <w:strike/>
        </w:rPr>
        <w:t xml:space="preserve">the department of social and health services and</w:t>
      </w:r>
      <w:r>
        <w:t>))</w:t>
      </w:r>
      <w:r>
        <w:rPr/>
        <w:t xml:space="preserve"> the department of children, youth, and families may, after review of relevant factors, including the nature and seriousness of the offense, time that has passed since conviction, changed circumstances since the offense occurred, and the nature of the employment or license sought, at their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w:t>
      </w:r>
      <w:r>
        <w:rPr>
          <w:u w:val="single"/>
        </w:rPr>
        <w:t xml:space="preserve">Unless otherwise prohibited by law, in cases in which an applicant would be disqualified under RCW 43.20A.710, 43.43.842, or department rule, and the applicant has obtained a certificate of restoration of opportunity for a disqualifying conviction,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u w:val="single"/>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u w:val="single"/>
        </w:rPr>
        <w:t xml:space="preserve">(ii) Disqualify the applicant solely based on the applicant's criminal history.</w:t>
      </w:r>
    </w:p>
    <w:p>
      <w:pPr>
        <w:spacing w:before="0" w:after="0" w:line="408" w:lineRule="exact"/>
        <w:ind w:left="0" w:right="0" w:firstLine="576"/>
        <w:jc w:val="left"/>
      </w:pPr>
      <w:r>
        <w:rPr>
          <w:u w:val="single"/>
        </w:rPr>
        <w:t xml:space="preserve">(d)</w:t>
      </w:r>
      <w:r>
        <w:rPr/>
        <w:t xml:space="preserve">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state of Washington, any of its counties, cities, towns, municipal corporations, or quasi-municipal corporations, the department of health, </w:t>
      </w:r>
      <w:r>
        <w:rPr>
          <w:u w:val="single"/>
        </w:rPr>
        <w:t xml:space="preserve">the department of social and health services,</w:t>
      </w:r>
      <w:r>
        <w:rPr/>
        <w:t xml:space="preserve">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 </w:t>
      </w:r>
      <w:r>
        <w:rPr>
          <w:u w:val="single"/>
        </w:rPr>
        <w:t xml:space="preserve">The department of social and health services, and contracted providers and licensees as defined in section 1 of this act, when hiring, licensing, certifying, contracting with, permitting, or continuing to permit a person to be employed in any position caring for or having unsupervised access to vulnerable adults or children, may, in their sole discretion, determine whether to consider a certificate of restoration of opportunity issued under this chapter. If the department or a consumer directed employer as defined in RCW 74.39A.009 determines that an individual with a certificate of restoration of opportunity is qualified to work as an individual provider as defined in RCW 74.39A.240, the department or the consumer directed employer must provide the client, and their guardian if any, with the results of the state background check for their determination of character, suitability, and competence of the individual before the individual begins providing services. The department of social and health services, or contracted providers or licensees as defined in section 1 of this act, when hiring, licensing, certifying, contracting with, permitting, or continuing to permit a person to be employed in any position caring for or having unsupervised access to vulnerable adults or children, have a rebuttable presumption that their exercise of discretion under this subsection or the refusal to exercise such discretion was appropriate. This subsection does not create a protected class, a private right of action, or any right, privilege, or duty, or to change any right, privilege, or duty existing under law related to the department of social and health services, contracted providers, and licensees as defined in section 1 of this act.</w:t>
      </w:r>
    </w:p>
    <w:p>
      <w:pPr>
        <w:spacing w:before="0" w:after="0" w:line="408" w:lineRule="exact"/>
        <w:ind w:left="0" w:right="0" w:firstLine="576"/>
        <w:jc w:val="left"/>
      </w:pPr>
      <w:r>
        <w:rPr>
          <w:u w:val="single"/>
        </w:rPr>
        <w:t xml:space="preserve">(5)</w:t>
      </w:r>
      <w:r>
        <w:rPr/>
        <w:t xml:space="preserve">(a)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website if:</w:t>
      </w:r>
    </w:p>
    <w:p>
      <w:pPr>
        <w:spacing w:before="0" w:after="0" w:line="408" w:lineRule="exact"/>
        <w:ind w:left="0" w:right="0" w:firstLine="576"/>
        <w:jc w:val="left"/>
      </w:pPr>
      <w:r>
        <w:rPr/>
        <w:t xml:space="preserve">(i) Its website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w:t>
      </w:r>
      <w:r>
        <w:t>((</w:t>
      </w:r>
      <w:r>
        <w:rPr>
          <w:strike/>
        </w:rPr>
        <w:t xml:space="preserve">(4)</w:t>
      </w:r>
      <w:r>
        <w:t>))</w:t>
      </w:r>
      <w:r>
        <w:rPr/>
        <w:t xml:space="preserve"> </w:t>
      </w:r>
      <w:r>
        <w:rPr>
          <w:u w:val="single"/>
        </w:rPr>
        <w:t xml:space="preserve">(5)</w:t>
      </w:r>
      <w:r>
        <w:rPr/>
        <w:t xml:space="preserve">(f).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Application for a certificate of restoration of opportunity must be filed as a civil action.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710</w:t>
      </w:r>
      <w:r>
        <w:rPr/>
        <w:t xml:space="preserve"> and 2020 c 270 s 10 are each amended to read as follows:</w:t>
      </w:r>
    </w:p>
    <w:p>
      <w:pPr>
        <w:spacing w:before="0" w:after="0" w:line="408" w:lineRule="exact"/>
        <w:ind w:left="0" w:right="0" w:firstLine="576"/>
        <w:jc w:val="left"/>
      </w:pPr>
      <w:r>
        <w:rPr/>
        <w:t xml:space="preserve">(1) The secretary shall investigate the conviction records, pending charges and disciplinary board final decisions of:</w:t>
      </w:r>
    </w:p>
    <w:p>
      <w:pPr>
        <w:spacing w:before="0" w:after="0" w:line="408" w:lineRule="exact"/>
        <w:ind w:left="0" w:right="0" w:firstLine="576"/>
        <w:jc w:val="left"/>
      </w:pPr>
      <w:r>
        <w:rPr/>
        <w:t xml:space="preserve">(a) Any current employee or applicant seeking or being considered for any position with the department who will or may have unsupervised access to children, vulnerable adults, or individuals with mental illness or developmental disabilities.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(b) Individual providers as defined in RCW 74.39A.240 and providers who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 and</w:t>
      </w:r>
    </w:p>
    <w:p>
      <w:pPr>
        <w:spacing w:before="0" w:after="0" w:line="408" w:lineRule="exact"/>
        <w:ind w:left="0" w:right="0" w:firstLine="576"/>
        <w:jc w:val="left"/>
      </w:pPr>
      <w:r>
        <w:rPr/>
        <w:t xml:space="preserve">(c) Individuals or businesses or organizations for the care, supervision, case management, or treatment of children, persons with developmental disabilities,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Except as provided in subsection (4) of this section, an individual provider or home care agency provider who has resided in the state less than three years before applying for employment involving unsupervised access to a vulnerable adult as defined in chapter 74.34 RCW must be fingerprinted for the purpose of investigating conviction records through both the Washington state patrol and the federal bureau of investigation. This subsection applies only with respect to the provision of in-home services funded by medicaid personal care under RCW 74.09.520, community options program entry system waiver services under RCW 74.39A.030, or chore services under RCW 74.39A.110. However, this subsection does not supersede RCW 74.15.030(2).</w:t>
      </w:r>
    </w:p>
    <w:p>
      <w:pPr>
        <w:spacing w:before="0" w:after="0" w:line="408" w:lineRule="exact"/>
        <w:ind w:left="0" w:right="0" w:firstLine="576"/>
        <w:jc w:val="left"/>
      </w:pPr>
      <w:r>
        <w:rPr/>
        <w:t xml:space="preserve">(4) Long-term care workers, as defined in RCW 74.39A.009, who are hired after January 7, 2012, are subject to background checks under RCW 74.39A.056, except that the department may require a background check at any time under RCW 43.43.837. For the purposes of this subsection, "background check" includes, but is not limited to, a fingerprint check submitted for the purpose of investigating conviction records through both the Washington state patrol and the federal bureau of investigation.</w:t>
      </w:r>
    </w:p>
    <w:p>
      <w:pPr>
        <w:spacing w:before="0" w:after="0" w:line="408" w:lineRule="exact"/>
        <w:ind w:left="0" w:right="0" w:firstLine="576"/>
        <w:jc w:val="left"/>
      </w:pPr>
      <w:r>
        <w:rPr/>
        <w:t xml:space="preserve">(5) An individual provider or home care agency provider hired to provide in-home care for and having unsupervised access to a vulnerable adult as defined in chapter 74.34 RCW must have no conviction for a disqualifying crime under RCW 43.43.830 and 43.43.842. An individual or home care agency provider must also have no conviction for a crime relating to drugs as defined in RCW 43.43.830. This subsection applies only with respect to the provision of in-home services funded by medicaid personal care under RCW 74.09.520, community options program entry system waiver services under RCW 74.39A.030, or chore services under RCW 74.39A.110.</w:t>
      </w:r>
    </w:p>
    <w:p>
      <w:pPr>
        <w:spacing w:before="0" w:after="0" w:line="408" w:lineRule="exact"/>
        <w:ind w:left="0" w:right="0" w:firstLine="576"/>
        <w:jc w:val="left"/>
      </w:pPr>
      <w:r>
        <w:rPr/>
        <w:t xml:space="preserve">(6) The secretary shall provide the results of the state background check on long-term care workers, including individual providers, to the persons hiring them or to their legal guardians, if any, for their determination of the character, suitability, and competence of the applicants. If the person elects to hire or retain an individual provider after receiving notice from the department that the applicant has a conviction for an offense that would disqualify the applicant from having unsupervised access to persons with physical, mental, or developmental disabilities or mental illness, or to vulnerable adults as defined in chapter 74.34 RCW, then the secretary shall deny payment for any subsequent services rendered by the disqualified individual provider.</w:t>
      </w:r>
    </w:p>
    <w:p>
      <w:pPr>
        <w:spacing w:before="0" w:after="0" w:line="408" w:lineRule="exact"/>
        <w:ind w:left="0" w:right="0" w:firstLine="576"/>
        <w:jc w:val="left"/>
      </w:pPr>
      <w:r>
        <w:rPr/>
        <w:t xml:space="preserve">(7)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(8) Any person whose criminal history would otherwise disqualify the person under this section </w:t>
      </w:r>
      <w:r>
        <w:rPr>
          <w:u w:val="single"/>
        </w:rPr>
        <w:t xml:space="preserve">or RCW 43.43.842,</w:t>
      </w:r>
      <w:r>
        <w:rPr/>
        <w:t xml:space="preserve"> from a position which will or may have unsupervised access to children, vulnerable adults, or persons with mental illness or developmental disabilities shall not be </w:t>
      </w:r>
      <w:r>
        <w:rPr>
          <w:u w:val="single"/>
        </w:rPr>
        <w:t xml:space="preserve">automatically</w:t>
      </w:r>
      <w:r>
        <w:rPr/>
        <w:t xml:space="preserve"> disqualified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w:t>
      </w:r>
      <w:r>
        <w:t>((</w:t>
      </w:r>
      <w:r>
        <w:rPr>
          <w:strike/>
        </w:rPr>
        <w:t xml:space="preserve">, or if the otherwise disqualifying</w:t>
      </w:r>
      <w:r>
        <w:t>))</w:t>
      </w:r>
      <w:r>
        <w:rPr>
          <w:u w:val="single"/>
        </w:rPr>
        <w:t xml:space="preserve">;</w:t>
      </w:r>
    </w:p>
    <w:p>
      <w:pPr>
        <w:spacing w:before="0" w:after="0" w:line="408" w:lineRule="exact"/>
        <w:ind w:left="0" w:right="0" w:firstLine="576"/>
        <w:jc w:val="left"/>
      </w:pPr>
      <w:r>
        <w:rPr>
          <w:u w:val="single"/>
        </w:rPr>
        <w:t xml:space="preserve">(b) The conviction is no longer automatically disqualifying pursuant to section 1 of this act;</w:t>
      </w:r>
    </w:p>
    <w:p>
      <w:pPr>
        <w:spacing w:before="0" w:after="0" w:line="408" w:lineRule="exact"/>
        <w:ind w:left="0" w:right="0" w:firstLine="576"/>
        <w:jc w:val="left"/>
      </w:pPr>
      <w:r>
        <w:rPr>
          <w:u w:val="single"/>
        </w:rPr>
        <w:t xml:space="preserve">(c) The applicant has received a certificate of restoration of opportunity for the convictions pursuant to RCW 9.97.020, and the department of social and health services has not disqualified the applicant based on character, competence, and suitability review; or</w:t>
      </w:r>
    </w:p>
    <w:p>
      <w:pPr>
        <w:spacing w:before="0" w:after="0" w:line="408" w:lineRule="exact"/>
        <w:ind w:left="0" w:right="0" w:firstLine="576"/>
        <w:jc w:val="left"/>
      </w:pPr>
      <w:r>
        <w:rPr>
          <w:u w:val="single"/>
        </w:rPr>
        <w:t xml:space="preserve">(d) The</w:t>
      </w:r>
      <w:r>
        <w:rPr/>
        <w:t xml:space="preserve"> conviction or disposition has been the subject of a pardon, annulment, or other equivalent procedure.</w:t>
      </w:r>
    </w:p>
    <w:p>
      <w:pPr>
        <w:spacing w:before="0" w:after="0" w:line="408" w:lineRule="exact"/>
        <w:ind w:left="0" w:right="0" w:firstLine="576"/>
        <w:jc w:val="left"/>
      </w:pPr>
      <w:r>
        <w:rPr/>
        <w:t xml:space="preserve">(9) The department may not consider any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74.39A.056 or 43.43.832,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2015 c 66 s 2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w:t>
      </w:r>
      <w:r>
        <w:t>((</w:t>
      </w:r>
      <w:r>
        <w:rPr>
          <w:strike/>
        </w:rPr>
        <w:t xml:space="preserve">been convicted of any crime that is disqualifying under RCW 43.43.830 or 43.43.842, or department rules adopted under this chapter, or been found to have abused, neglected, exploited, or abandoned a minor or vulnerable adult as specified in RCW 74.39A.056(2)</w:t>
      </w:r>
      <w:r>
        <w:t>))</w:t>
      </w:r>
      <w:r>
        <w:rPr/>
        <w:t xml:space="preserve"> </w:t>
      </w:r>
      <w:r>
        <w:rPr>
          <w:u w:val="single"/>
        </w:rPr>
        <w:t xml:space="preserve">be disqualified by a department background check</w:t>
      </w:r>
      <w:r>
        <w:rPr/>
        <w:t xml:space="preserve">;</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osteopathic physician assistant licensed under chapter 18.57A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have enrolled in or completed the class within four months of licensure.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2020 c 80 s 47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w:t>
      </w:r>
      <w:r>
        <w:t>((</w:t>
      </w:r>
      <w:r>
        <w:rPr>
          <w:strike/>
        </w:rPr>
        <w:t xml:space="preserve">been convicted of any crime that is disqualifying under RCW 43.43.830 or 43.43.842, or department rules adopted under this chapter, or been found to have abused, neglected, exploited, or abandoned a minor or vulnerable adult as specified in RCW 74.39A.056(2)</w:t>
      </w:r>
      <w:r>
        <w:t>))</w:t>
      </w:r>
      <w:r>
        <w:rPr/>
        <w:t xml:space="preserve"> </w:t>
      </w:r>
      <w:r>
        <w:rPr>
          <w:u w:val="single"/>
        </w:rPr>
        <w:t xml:space="preserve">be disqualified by a department background check</w:t>
      </w:r>
      <w:r>
        <w:rPr/>
        <w:t xml:space="preserve">;</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have enrolled in or completed the class within four months of licensure.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130</w:t>
      </w:r>
      <w:r>
        <w:rPr/>
        <w:t xml:space="preserve"> and 2019 c 80 s 1 are each amended to read as follows:</w:t>
      </w:r>
    </w:p>
    <w:p>
      <w:pPr>
        <w:spacing w:before="0" w:after="0" w:line="408" w:lineRule="exact"/>
        <w:ind w:left="0" w:right="0" w:firstLine="576"/>
        <w:jc w:val="left"/>
      </w:pPr>
      <w:r>
        <w:rPr/>
        <w:t xml:space="preserve">(1) The provider is ultimately responsible for the day-to-day operations of each licensed adult family home.</w:t>
      </w:r>
    </w:p>
    <w:p>
      <w:pPr>
        <w:spacing w:before="0" w:after="0" w:line="408" w:lineRule="exact"/>
        <w:ind w:left="0" w:right="0" w:firstLine="576"/>
        <w:jc w:val="left"/>
      </w:pPr>
      <w:r>
        <w:rPr/>
        <w:t xml:space="preserve">(2) The provider shall promote the health, safety, and well-being of each resident residing in each licensed adult family home.</w:t>
      </w:r>
    </w:p>
    <w:p>
      <w:pPr>
        <w:spacing w:before="0" w:after="0" w:line="408" w:lineRule="exact"/>
        <w:ind w:left="0" w:right="0" w:firstLine="576"/>
        <w:jc w:val="left"/>
      </w:pPr>
      <w:r>
        <w:rPr/>
        <w:t xml:space="preserve">(3) Adult family homes shall be maintained internally and externally in good repair and condition. Such homes shall have safe and functioning systems for heating, cooling, hot and cold water, electricity, plumbing, garbage disposal, sewage, cooking, laundry, artificial and natural light, ventilation, and any other feature of the home.</w:t>
      </w:r>
    </w:p>
    <w:p>
      <w:pPr>
        <w:spacing w:before="0" w:after="0" w:line="408" w:lineRule="exact"/>
        <w:ind w:left="0" w:right="0" w:firstLine="576"/>
        <w:jc w:val="left"/>
      </w:pPr>
      <w:r>
        <w:rPr/>
        <w:t xml:space="preserve">(4) In order to preserve and promote the residential home-like nature of adult family homes, adult family homes licensed after August 24, 2011, shall:</w:t>
      </w:r>
    </w:p>
    <w:p>
      <w:pPr>
        <w:spacing w:before="0" w:after="0" w:line="408" w:lineRule="exact"/>
        <w:ind w:left="0" w:right="0" w:firstLine="576"/>
        <w:jc w:val="left"/>
      </w:pPr>
      <w:r>
        <w:rPr/>
        <w:t xml:space="preserve">(a) Have sufficient space to accommodate all residents at one time in the dining and living room areas;</w:t>
      </w:r>
    </w:p>
    <w:p>
      <w:pPr>
        <w:spacing w:before="0" w:after="0" w:line="408" w:lineRule="exact"/>
        <w:ind w:left="0" w:right="0" w:firstLine="576"/>
        <w:jc w:val="left"/>
      </w:pPr>
      <w:r>
        <w:rPr/>
        <w:t xml:space="preserve">(b) Have hallways and doorways wide enough to accommodate residents who use mobility aids such as wheelchairs and walkers; and</w:t>
      </w:r>
    </w:p>
    <w:p>
      <w:pPr>
        <w:spacing w:before="0" w:after="0" w:line="408" w:lineRule="exact"/>
        <w:ind w:left="0" w:right="0" w:firstLine="576"/>
        <w:jc w:val="left"/>
      </w:pPr>
      <w:r>
        <w:rPr/>
        <w:t xml:space="preserve">(c) Have outdoor areas that are safe and accessible for residents to use.</w:t>
      </w:r>
    </w:p>
    <w:p>
      <w:pPr>
        <w:spacing w:before="0" w:after="0" w:line="408" w:lineRule="exact"/>
        <w:ind w:left="0" w:right="0" w:firstLine="576"/>
        <w:jc w:val="left"/>
      </w:pPr>
      <w:r>
        <w:rPr/>
        <w:t xml:space="preserve">(5) The adult family home must provide all residents access to resident common areas throughout the adult family home including, but not limited to, kitchens, dining and living areas, and bathrooms, to the extent that they are safe under the resident's care plan.</w:t>
      </w:r>
    </w:p>
    <w:p>
      <w:pPr>
        <w:spacing w:before="0" w:after="0" w:line="408" w:lineRule="exact"/>
        <w:ind w:left="0" w:right="0" w:firstLine="576"/>
        <w:jc w:val="left"/>
      </w:pPr>
      <w:r>
        <w:rPr/>
        <w:t xml:space="preserve">(6) Adult family homes shall be maintained in a clean and sanitary manner, including proper sewage disposal, food handling, and hygiene practices.</w:t>
      </w:r>
    </w:p>
    <w:p>
      <w:pPr>
        <w:spacing w:before="0" w:after="0" w:line="408" w:lineRule="exact"/>
        <w:ind w:left="0" w:right="0" w:firstLine="576"/>
        <w:jc w:val="left"/>
      </w:pPr>
      <w:r>
        <w:rPr/>
        <w:t xml:space="preserve">(7) Adult family homes shall develop a fire drill plan for emergency evacuation of residents, shall have working smoke detectors in each bedroom where a resident is located, shall have working fire extinguishers on each floor of the home, and shall house nonambulatory residents on a level with safe egress to a public right-of-way. Nonambulatory residents must have a bedroom on the floor of the home from which the resident can be evacuated to a designated safe location outside the home without the use of stairs, elevators, chair lifts, platform lifts, or other devices as determined by the department in rule.</w:t>
      </w:r>
    </w:p>
    <w:p>
      <w:pPr>
        <w:spacing w:before="0" w:after="0" w:line="408" w:lineRule="exact"/>
        <w:ind w:left="0" w:right="0" w:firstLine="576"/>
        <w:jc w:val="left"/>
      </w:pPr>
      <w:r>
        <w:rPr/>
        <w:t xml:space="preserve">(8) The adult family home shall ensure that all residents can be safely evacuated from the home in an emergency as established by the department in rule. The rules established by the department must be developed in consultation with the largest organization representing fire chiefs in the state of Washington.</w:t>
      </w:r>
    </w:p>
    <w:p>
      <w:pPr>
        <w:spacing w:before="0" w:after="0" w:line="408" w:lineRule="exact"/>
        <w:ind w:left="0" w:right="0" w:firstLine="576"/>
        <w:jc w:val="left"/>
      </w:pPr>
      <w:r>
        <w:rPr/>
        <w:t xml:space="preserve">(9) Adult family homes shall have clean, functioning, and safe household items and furnishings.</w:t>
      </w:r>
    </w:p>
    <w:p>
      <w:pPr>
        <w:spacing w:before="0" w:after="0" w:line="408" w:lineRule="exact"/>
        <w:ind w:left="0" w:right="0" w:firstLine="576"/>
        <w:jc w:val="left"/>
      </w:pPr>
      <w:r>
        <w:rPr/>
        <w:t xml:space="preserve">(10) Adult family homes shall provide a nutritious and balanced diet and shall recognize residents' needs for special diets.</w:t>
      </w:r>
    </w:p>
    <w:p>
      <w:pPr>
        <w:spacing w:before="0" w:after="0" w:line="408" w:lineRule="exact"/>
        <w:ind w:left="0" w:right="0" w:firstLine="576"/>
        <w:jc w:val="left"/>
      </w:pPr>
      <w:r>
        <w:rPr/>
        <w:t xml:space="preserve">(11) Adult family homes shall establish health care procedures for the care of residents including medication administration and emergency medical care.</w:t>
      </w:r>
    </w:p>
    <w:p>
      <w:pPr>
        <w:spacing w:before="0" w:after="0" w:line="408" w:lineRule="exact"/>
        <w:ind w:left="0" w:right="0" w:firstLine="576"/>
        <w:jc w:val="left"/>
      </w:pPr>
      <w:r>
        <w:rPr/>
        <w:t xml:space="preserve">(a) Adult family home residents shall be permitted to self-administer medications.</w:t>
      </w:r>
    </w:p>
    <w:p>
      <w:pPr>
        <w:spacing w:before="0" w:after="0" w:line="408" w:lineRule="exact"/>
        <w:ind w:left="0" w:right="0" w:firstLine="576"/>
        <w:jc w:val="left"/>
      </w:pPr>
      <w:r>
        <w:rPr/>
        <w:t xml:space="preserve">(b) Adult family home providers may administer medications and deliver special care only to the extent authorized by law.</w:t>
      </w:r>
    </w:p>
    <w:p>
      <w:pPr>
        <w:spacing w:before="0" w:after="0" w:line="408" w:lineRule="exact"/>
        <w:ind w:left="0" w:right="0" w:firstLine="576"/>
        <w:jc w:val="left"/>
      </w:pPr>
      <w:r>
        <w:rPr/>
        <w:t xml:space="preserve">(12) Adult family home providers shall either: (a) Reside at the adult family home; or (b) employ or otherwise contract with a qualified resident manager to reside at the adult family home. The department may exempt, for good cause, a provider from the requirements of this subsection by rule.</w:t>
      </w:r>
    </w:p>
    <w:p>
      <w:pPr>
        <w:spacing w:before="0" w:after="0" w:line="408" w:lineRule="exact"/>
        <w:ind w:left="0" w:right="0" w:firstLine="576"/>
        <w:jc w:val="left"/>
      </w:pPr>
      <w:r>
        <w:rPr/>
        <w:t xml:space="preserve">(13) A provider will ensure that any volunteer, student, employee, or person residing within the adult family home who will have unsupervised access to any resident shall not </w:t>
      </w:r>
      <w:r>
        <w:t>((</w:t>
      </w:r>
      <w:r>
        <w:rPr>
          <w:strike/>
        </w:rPr>
        <w:t xml:space="preserve">have been convicted of a crime listed under RCW 43.43.830 or 43.43.842, or been found to have abused, neglected, exploited, or abandoned a minor or vulnerable adult as specified in RCW 74.39A.056(2)</w:t>
      </w:r>
      <w:r>
        <w:t>))</w:t>
      </w:r>
      <w:r>
        <w:rPr/>
        <w:t xml:space="preserve"> </w:t>
      </w:r>
      <w:r>
        <w:rPr>
          <w:u w:val="single"/>
        </w:rPr>
        <w:t xml:space="preserve">be disqualified by a department background check</w:t>
      </w:r>
      <w:r>
        <w:rPr/>
        <w:t xml:space="preserve">. A provider may conditionally employ a person pending the completion of a criminal conviction background inquiry, but may not allow the person to have unsupervised access to any resident.</w:t>
      </w:r>
    </w:p>
    <w:p>
      <w:pPr>
        <w:spacing w:before="0" w:after="0" w:line="408" w:lineRule="exact"/>
        <w:ind w:left="0" w:right="0" w:firstLine="576"/>
        <w:jc w:val="left"/>
      </w:pPr>
      <w:r>
        <w:rPr/>
        <w:t xml:space="preserve">(14) A provider shall offer activities to residents under care as defined by the department in rule.</w:t>
      </w:r>
    </w:p>
    <w:p>
      <w:pPr>
        <w:spacing w:before="0" w:after="0" w:line="408" w:lineRule="exact"/>
        <w:ind w:left="0" w:right="0" w:firstLine="576"/>
        <w:jc w:val="left"/>
      </w:pPr>
      <w:r>
        <w:rPr/>
        <w:t xml:space="preserve">(15) An adult family home must be financially solvent, and upon request for good cause, shall provide the department with detailed information about the home's finances. Financial records of the adult family home may be examined when the department has good cause to believe that a financial obligation related to resident care or services will not be met.</w:t>
      </w:r>
    </w:p>
    <w:p>
      <w:pPr>
        <w:spacing w:before="0" w:after="0" w:line="408" w:lineRule="exact"/>
        <w:ind w:left="0" w:right="0" w:firstLine="576"/>
        <w:jc w:val="left"/>
      </w:pPr>
      <w:r>
        <w:rPr/>
        <w:t xml:space="preserve">(16) An adult family home provider must ensure that staff are competent and receive necessary training to perform assigned tasks. Staff must satisfactorily complete department-approved staff orientation, basic training, and continuing education as specified by the department by rule. The provider shall ensure that a qualified caregiver is on</w:t>
      </w:r>
      <w:r>
        <w:rPr/>
        <w:noBreakHyphen/>
      </w:r>
      <w:r>
        <w:rPr/>
        <w:t xml:space="preserve">site whenever a resident is at the adult family home; any exceptions will be specified by the department in rule. Notwithstanding RCW 70.128.230, until orientation and basic training are successfully completed, a caregiver may not provide hands</w:t>
      </w:r>
      <w:r>
        <w:rPr/>
        <w:noBreakHyphen/>
      </w:r>
      <w:r>
        <w:rPr/>
        <w:t xml:space="preserve">on personal care to a resident without on</w:t>
      </w:r>
      <w:r>
        <w:rPr/>
        <w:noBreakHyphen/>
      </w:r>
      <w:r>
        <w:rPr/>
        <w:t xml:space="preserve">site supervision by a person who has successfully completed basic training or been exempted from the training pursuant to statute.</w:t>
      </w:r>
    </w:p>
    <w:p>
      <w:pPr>
        <w:spacing w:before="0" w:after="0" w:line="408" w:lineRule="exact"/>
        <w:ind w:left="0" w:right="0" w:firstLine="576"/>
        <w:jc w:val="left"/>
      </w:pPr>
      <w:r>
        <w:rPr/>
        <w:t xml:space="preserve">(17) The provider and resident manager must assure that there is:</w:t>
      </w:r>
    </w:p>
    <w:p>
      <w:pPr>
        <w:spacing w:before="0" w:after="0" w:line="408" w:lineRule="exact"/>
        <w:ind w:left="0" w:right="0" w:firstLine="576"/>
        <w:jc w:val="left"/>
      </w:pPr>
      <w:r>
        <w:rPr/>
        <w:t xml:space="preserve">(a) A mechanism to communicate with the resident in his or her primary language either through a qualified person on-site or readily available at all times, or other reasonable accommodations, such as language lines; and</w:t>
      </w:r>
    </w:p>
    <w:p>
      <w:pPr>
        <w:spacing w:before="0" w:after="0" w:line="408" w:lineRule="exact"/>
        <w:ind w:left="0" w:right="0" w:firstLine="576"/>
        <w:jc w:val="left"/>
      </w:pPr>
      <w:r>
        <w:rPr/>
        <w:t xml:space="preserve">(b) Staff on-site at all times capable of understanding and speaking English well enough to be able to respond appropriately to emergency situations and be able to read and understand resident care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department of health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1a4c511b9daf48e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8d18c273b24e3e" /><Relationship Type="http://schemas.openxmlformats.org/officeDocument/2006/relationships/footer" Target="/word/footer1.xml" Id="R1a4c511b9daf48e5" /></Relationships>
</file>