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09949d512c42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1331</w:t>
      </w:r>
    </w:p>
    <w:p>
      <w:pPr>
        <w:jc w:val="center"/>
        <w:spacing w:before="480" w:after="0" w:line="240"/>
      </w:pPr>
      <w:r>
        <w:t xml:space="preserve">Chapter </w:t>
      </w:r>
      <w:r>
        <w:rPr/>
        <w:t xml:space="preserve">72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IMPACT FEES—EARLY LEARNING FACILITIES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73</w:t>
            </w:r>
            <w:r>
              <w:t xml:space="preserve">  Nays </w:t>
              <w:t xml:space="preserve">25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35</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1331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1331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Local Government (originally sponsored by Representatives Harris-Talley, Senn, Berry, Callan, Fitzgibbon, Wicks, Ortiz-Self, Chopp, Davis, Valdez, Bateman, Eslick, Ormsby, Lovick, Fey, Berg, Rule, Lekanoff, Frame, Duerr, Pollet, Macri, Slatter, and Peterson)</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learning facility impact fees; and amending RCW 82.02.060.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w:t>
      </w:r>
      <w:r>
        <w:rPr>
          <w:u w:val="single"/>
        </w:rPr>
        <w:t xml:space="preserve">including development of an early learning facility,</w:t>
      </w:r>
      <w:r>
        <w:rPr/>
        <w:t xml:space="preserve">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w:t>
      </w:r>
      <w:r>
        <w:rPr>
          <w:u w:val="single"/>
        </w:rPr>
        <w:t xml:space="preserve">(a) </w:t>
      </w:r>
      <w:r>
        <w:rPr>
          <w:u w:val="single"/>
        </w:rPr>
        <w:t xml:space="preserve">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u w:val="single"/>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u w:val="single"/>
        </w:rPr>
        <w:t xml:space="preserve">(4)</w:t>
      </w:r>
      <w:r>
        <w:rPr/>
        <w:t xml:space="preserve"> May provide an exemption from impact fees for low-income housing </w:t>
      </w:r>
      <w:r>
        <w:rPr>
          <w:u w:val="single"/>
        </w:rPr>
        <w:t xml:space="preserve">or for early learning facilities</w:t>
      </w:r>
      <w:r>
        <w:rPr/>
        <w:t xml:space="preserve">. Local governments that grant exemptions for low-income housing </w:t>
      </w:r>
      <w:r>
        <w:rPr>
          <w:u w:val="single"/>
        </w:rPr>
        <w:t xml:space="preserve">or for early learning facilities</w:t>
      </w:r>
      <w:r>
        <w:rPr/>
        <w:t xml:space="preserve"> under this subsection </w:t>
      </w:r>
      <w:r>
        <w:t>((</w:t>
      </w:r>
      <w:r>
        <w:rPr>
          <w:strike/>
        </w:rPr>
        <w:t xml:space="preserve">(3)</w:t>
      </w:r>
      <w:r>
        <w:t>))</w:t>
      </w:r>
      <w:r>
        <w:rPr/>
        <w:t xml:space="preserve"> </w:t>
      </w:r>
      <w:r>
        <w:rPr>
          <w:u w:val="single"/>
        </w:rPr>
        <w:t xml:space="preserve">(4)</w:t>
      </w:r>
      <w:r>
        <w:rPr/>
        <w:t xml:space="preserve">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w:t>
      </w:r>
      <w:r>
        <w:t>((</w:t>
      </w:r>
      <w:r>
        <w:rPr>
          <w:strike/>
        </w:rPr>
        <w:t xml:space="preserve">.</w:t>
      </w:r>
      <w:r>
        <w:t>))</w:t>
      </w:r>
      <w:r>
        <w:rPr>
          <w:u w:val="single"/>
        </w:rPr>
        <w:t xml:space="preserve">, except as provided in (b) of this subsection. These exemptions are subject to the following requirements:</w:t>
      </w:r>
    </w:p>
    <w:p>
      <w:pPr>
        <w:spacing w:before="0" w:after="0" w:line="408" w:lineRule="exact"/>
        <w:ind w:left="0" w:right="0" w:firstLine="576"/>
        <w:jc w:val="left"/>
      </w:pPr>
      <w:r>
        <w:rPr>
          <w:u w:val="single"/>
        </w:rPr>
        <w:t xml:space="preserve">(a)</w:t>
      </w:r>
      <w:r>
        <w:rPr/>
        <w:t xml:space="preserve"> An exemption for low-income housing granted under subsection (2) of this section or this subsection </w:t>
      </w:r>
      <w:r>
        <w:t>((</w:t>
      </w:r>
      <w:r>
        <w:rPr>
          <w:strike/>
        </w:rPr>
        <w:t xml:space="preserve">(3)</w:t>
      </w:r>
      <w:r>
        <w:t>))</w:t>
      </w:r>
      <w:r>
        <w:rPr/>
        <w:t xml:space="preserve"> </w:t>
      </w:r>
      <w:r>
        <w:rPr>
          <w:u w:val="single"/>
        </w:rPr>
        <w:t xml:space="preserve">(4)</w:t>
      </w:r>
      <w:r>
        <w:rPr/>
        <w:t xml:space="preserve">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r>
        <w:t>((</w:t>
      </w:r>
      <w:r>
        <w:rPr>
          <w:strike/>
        </w:rPr>
        <w:t xml:space="preserve">.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u w:val="single"/>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 A school district who receives school impact fees must approve any exemption under subsection (2) of this section or this subsection (4);</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and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u w:val="single"/>
        </w:rPr>
        <w:t xml:space="preserve">For the purposes of this section, "early learning facility" has the same meaning as in RCW 43.31.565.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289b5b71231e4a9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8e6a3d533346f1" /><Relationship Type="http://schemas.openxmlformats.org/officeDocument/2006/relationships/footer" Target="/word/footer1.xml" Id="R289b5b71231e4a92" /></Relationships>
</file>