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f9d40078f74c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1287</w:t>
      </w:r>
    </w:p>
    <w:p>
      <w:pPr>
        <w:jc w:val="center"/>
        <w:spacing w:before="480" w:after="0" w:line="240"/>
      </w:pPr>
      <w:r>
        <w:t xml:space="preserve">Chapter </w:t>
      </w:r>
      <w:r>
        <w:rPr/>
        <w:t xml:space="preserve">300</w:t>
      </w:r>
      <w:r>
        <w:t xml:space="preserve">, Laws of 2021</w:t>
      </w:r>
    </w:p>
    <w:p>
      <w:pPr>
        <w:jc w:val="center"/>
        <w:spacing w:before="240" w:after="0" w:line="240"/>
      </w:pPr>
      <w:r>
        <w:rPr/>
        <w:t xml:space="preserve">(partial veto)</w:t>
      </w:r>
    </w:p>
    <w:p>
      <w:pPr>
        <w:jc w:val="center"/>
        <w:spacing w:before="360" w:after="0" w:line="240"/>
      </w:pPr>
      <w:r>
        <w:t>67th Legislature</w:t>
      </w:r>
    </w:p>
    <w:p>
      <w:pPr>
        <w:jc w:val="center"/>
      </w:pPr>
      <w:r>
        <w:t>2021 Regular Session</w:t>
      </w:r>
    </w:p>
    <w:p>
      <w:pPr>
        <w:jc w:val="center"/>
        <w:spacing w:before="480" w:after="0" w:line="240"/>
      </w:pPr>
      <w:r>
        <w:rPr/>
        <w:t xml:space="preserve">ZERO-EMISSION VEHICLES—PREPAREDNESS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54</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25</w:t>
            </w:r>
            <w:r>
              <w:t xml:space="preserve">  Nays </w:t>
              <w:t xml:space="preserve">23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11:47 AM with the exception of section 6,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1287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Ramel, Hackney, Bateman, Fitzgibbon, Berry, Goodman, Santos, Kloba, Macri, Bergquist, Ormsby,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preparedness for a zero emissions transportation future; amending RCW 19.280.030, 19.27.540, and 82.44.200; adding a new section to chapter 47.01 RCW; adding a new chapter to Title 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Motor vehicles are a significant source of air pollution, including greenhouse gas emissions, in Washington. The transportation sector accounts for nearly one-half of greenhouse gas emissions in Washington, and on-road vehicle emissions are responsible for the vast majority of the transportation sector emissions.</w:t>
      </w:r>
    </w:p>
    <w:p>
      <w:pPr>
        <w:spacing w:before="0" w:after="0" w:line="408" w:lineRule="exact"/>
        <w:ind w:left="0" w:right="0" w:firstLine="576"/>
        <w:jc w:val="left"/>
      </w:pPr>
      <w:r>
        <w:rPr/>
        <w:t xml:space="preserve">(2) The widespread adoption of zero emissions vehicles is essential to the achievement of the state emissions limits established in RCW 70A.45.020, which, by 2050, requires a reduction of greenhouse gas emissions to 5,000,000 metric tons and the achievement of net zero greenhouse gas emissions. The rapid uptake of zero emissions vehicles is also an essential component of the state energy strategy, which calls for the phase out of vehicles powered by gasoline or diesel by mid-century. To ensure that the necessary infrastructure is in place to facilitate zero emissions vehicle adoption, the state energy strategy calls for the establishment of building codes that require installation of the conduit, wiring, and panel capacity necessary to support electric vehicle charging in new and retrofitted buildings.</w:t>
      </w:r>
    </w:p>
    <w:p>
      <w:pPr>
        <w:spacing w:before="0" w:after="0" w:line="408" w:lineRule="exact"/>
        <w:ind w:left="0" w:right="0" w:firstLine="576"/>
        <w:jc w:val="left"/>
      </w:pPr>
      <w:r>
        <w:rPr/>
        <w:t xml:space="preserve">(3) In 2005, Washington first took action to adopt some of the motor vehicle emissions standards of the state of California, which are more protective of human health and the environment than federal motor vehicle emissions standards. In 2020, the legislature directed the department of ecology to adopt all of California's motor vehicle emissions standards, including California's zero emissions vehicles program.</w:t>
      </w:r>
    </w:p>
    <w:p>
      <w:pPr>
        <w:spacing w:before="0" w:after="0" w:line="408" w:lineRule="exact"/>
        <w:ind w:left="0" w:right="0" w:firstLine="576"/>
        <w:jc w:val="left"/>
      </w:pPr>
      <w:r>
        <w:rPr/>
        <w:t xml:space="preserve">(4) A Washington state transition to a zero emissions transportation future requires accurate forecasting of zero emissions vehicle adoption rates, comprehensive planning for the necessary electric vehicle charging and green hydrogen production infrastructure, including the siting of infrastructure in desirable locations with amenities, such as near convenience stores, gas stations, and other small retailers, and managing the load of charging and green hydrogen production and refueling infrastructure as a dynamic energy service to the electric grid.</w:t>
      </w:r>
    </w:p>
    <w:p>
      <w:pPr>
        <w:spacing w:before="0" w:after="0" w:line="408" w:lineRule="exact"/>
        <w:ind w:left="0" w:right="0" w:firstLine="576"/>
        <w:jc w:val="left"/>
      </w:pPr>
      <w:r>
        <w:rPr/>
        <w:t xml:space="preserve">(5) To ensure that the transition to a zero emissions transportation future proceeds efficiently and conveniently for users and operators of the multimodal transportation system, it is the intent of the legislature to:</w:t>
      </w:r>
    </w:p>
    <w:p>
      <w:pPr>
        <w:spacing w:before="0" w:after="0" w:line="408" w:lineRule="exact"/>
        <w:ind w:left="0" w:right="0" w:firstLine="576"/>
        <w:jc w:val="left"/>
      </w:pPr>
      <w:r>
        <w:rPr/>
        <w:t xml:space="preserve">(a) Require state government to provide resources that facilitate the planning and deployment of electric vehicle charging and refueling infrastructure in a transparent, effective, and equitable manner across the state;</w:t>
      </w:r>
    </w:p>
    <w:p>
      <w:pPr>
        <w:spacing w:before="0" w:after="0" w:line="408" w:lineRule="exact"/>
        <w:ind w:left="0" w:right="0" w:firstLine="576"/>
        <w:jc w:val="left"/>
      </w:pPr>
      <w:r>
        <w:rPr/>
        <w:t xml:space="preserve">(b) Ensure utility resource planning analyzes the impacts on electricity generation and delivery from growing adoption and usage of electric vehicles; and</w:t>
      </w:r>
    </w:p>
    <w:p>
      <w:pPr>
        <w:spacing w:before="0" w:after="0" w:line="408" w:lineRule="exact"/>
        <w:ind w:left="0" w:right="0" w:firstLine="576"/>
        <w:jc w:val="left"/>
      </w:pPr>
      <w:r>
        <w:rPr/>
        <w:t xml:space="preserve">(c) Require state building codes that support the anticipated levels of zero emissions vehicle use that result from the program requirements in chapter 70A.30 RCW and that achieve emissions reductions consistent with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through the department's public-private partnership office and in consultation with the department of ecology, the department of commerce, and the office of equity, must develop and maintain a publicly available mapping and forecasting tool that provides locations and essential information of charging and refueling infrastructure to support forecasted levels of electric vehicle adoption, travel, and usage across Washington state.</w:t>
      </w:r>
    </w:p>
    <w:p>
      <w:pPr>
        <w:spacing w:before="0" w:after="0" w:line="408" w:lineRule="exact"/>
        <w:ind w:left="0" w:right="0" w:firstLine="576"/>
        <w:jc w:val="left"/>
      </w:pPr>
      <w:r>
        <w:rPr/>
        <w:t xml:space="preserve">(2)(a) The publicly available mapping and forecasting tool must be designed to enable coordinated, effective, efficient, and timely deployment of charging and refueling infrastructure necessary to support statewide and local transportation electrification efforts that result in emissions reductions consistent with RCW 70A.45.020.</w:t>
      </w:r>
    </w:p>
    <w:p>
      <w:pPr>
        <w:spacing w:before="0" w:after="0" w:line="408" w:lineRule="exact"/>
        <w:ind w:left="0" w:right="0" w:firstLine="576"/>
        <w:jc w:val="left"/>
      </w:pPr>
      <w:r>
        <w:rPr/>
        <w:t xml:space="preserve">(b) The tool must:</w:t>
      </w:r>
    </w:p>
    <w:p>
      <w:pPr>
        <w:spacing w:before="0" w:after="0" w:line="408" w:lineRule="exact"/>
        <w:ind w:left="0" w:right="0" w:firstLine="576"/>
        <w:jc w:val="left"/>
      </w:pPr>
      <w:r>
        <w:rPr/>
        <w:t xml:space="preserve">(i) Initially prioritize on-road transportation;</w:t>
      </w:r>
    </w:p>
    <w:p>
      <w:pPr>
        <w:spacing w:before="0" w:after="0" w:line="408" w:lineRule="exact"/>
        <w:ind w:left="0" w:right="0" w:firstLine="576"/>
        <w:jc w:val="left"/>
      </w:pPr>
      <w:r>
        <w:rPr/>
        <w:t xml:space="preserve">(ii) To the greatest extent possible, maintain the latest data;</w:t>
      </w:r>
    </w:p>
    <w:p>
      <w:pPr>
        <w:spacing w:before="0" w:after="0" w:line="408" w:lineRule="exact"/>
        <w:ind w:left="0" w:right="0" w:firstLine="576"/>
        <w:jc w:val="left"/>
      </w:pPr>
      <w:r>
        <w:rPr/>
        <w:t xml:space="preserve">(iii) Model charging and refueling infrastructure that may be used by owners and operators of light, medium, and heavy-duty vehicles; and</w:t>
      </w:r>
    </w:p>
    <w:p>
      <w:pPr>
        <w:spacing w:before="0" w:after="0" w:line="408" w:lineRule="exact"/>
        <w:ind w:left="0" w:right="0" w:firstLine="576"/>
        <w:jc w:val="left"/>
      </w:pPr>
      <w:r>
        <w:rPr/>
        <w:t xml:space="preserve">(iv) Incorporate the department's traffic data for passenger and freight vehicles.</w:t>
      </w:r>
    </w:p>
    <w:p>
      <w:pPr>
        <w:spacing w:before="0" w:after="0" w:line="408" w:lineRule="exact"/>
        <w:ind w:left="0" w:right="0" w:firstLine="576"/>
        <w:jc w:val="left"/>
      </w:pPr>
      <w:r>
        <w:rPr/>
        <w:t xml:space="preserve">(c) The tool must, if feasible:</w:t>
      </w:r>
    </w:p>
    <w:p>
      <w:pPr>
        <w:spacing w:before="0" w:after="0" w:line="408" w:lineRule="exact"/>
        <w:ind w:left="0" w:right="0" w:firstLine="576"/>
        <w:jc w:val="left"/>
      </w:pPr>
      <w:r>
        <w:rPr/>
        <w:t xml:space="preserve">(i) Provide the data necessary to support programs by state agencies that directly or indirectly support transportation electrification efforts;</w:t>
      </w:r>
    </w:p>
    <w:p>
      <w:pPr>
        <w:spacing w:before="0" w:after="0" w:line="408" w:lineRule="exact"/>
        <w:ind w:left="0" w:right="0" w:firstLine="576"/>
        <w:jc w:val="left"/>
      </w:pPr>
      <w:r>
        <w:rPr/>
        <w:t xml:space="preserve">(ii) Evolve over time to support future transportation electrification programs;</w:t>
      </w:r>
    </w:p>
    <w:p>
      <w:pPr>
        <w:spacing w:before="0" w:after="0" w:line="408" w:lineRule="exact"/>
        <w:ind w:left="0" w:right="0" w:firstLine="576"/>
        <w:jc w:val="left"/>
      </w:pPr>
      <w:r>
        <w:rPr/>
        <w:t xml:space="preserve">(iii) Provide data at a scale that supports electric utility planning for the impacts of transportation electrification both systemwide and on specific components of the distribution system; and</w:t>
      </w:r>
    </w:p>
    <w:p>
      <w:pPr>
        <w:spacing w:before="0" w:after="0" w:line="408" w:lineRule="exact"/>
        <w:ind w:left="0" w:right="0" w:firstLine="576"/>
        <w:jc w:val="left"/>
      </w:pPr>
      <w:r>
        <w:rPr/>
        <w:t xml:space="preserve">(iv) Forecast statewide zero emissions vehicle use that would achieve the emissions reductions consistent with RCW 70A.45.020. The department may reference existing zero emissions vehicle use forecasts, such as that established in the state energy strategy.</w:t>
      </w:r>
    </w:p>
    <w:p>
      <w:pPr>
        <w:spacing w:before="0" w:after="0" w:line="408" w:lineRule="exact"/>
        <w:ind w:left="0" w:right="0" w:firstLine="576"/>
        <w:jc w:val="left"/>
      </w:pPr>
      <w:r>
        <w:rPr/>
        <w:t xml:space="preserve">(3) The department, in consultation with the department of commerce, the department of ecology, and the office of equity, may elect to include other transportation charging and refueling infrastructure, such as maritime, public transportation, and aviation in the mapping and forecasting tool.</w:t>
      </w:r>
    </w:p>
    <w:p>
      <w:pPr>
        <w:spacing w:before="0" w:after="0" w:line="408" w:lineRule="exact"/>
        <w:ind w:left="0" w:right="0" w:firstLine="576"/>
        <w:jc w:val="left"/>
      </w:pPr>
      <w:r>
        <w:rPr/>
        <w:t xml:space="preserve">(4) The tool must include, to the extent feasible, the following elements:</w:t>
      </w:r>
    </w:p>
    <w:p>
      <w:pPr>
        <w:spacing w:before="0" w:after="0" w:line="408" w:lineRule="exact"/>
        <w:ind w:left="0" w:right="0" w:firstLine="576"/>
        <w:jc w:val="left"/>
      </w:pPr>
      <w:r>
        <w:rPr/>
        <w:t xml:space="preserve">(a) The amount, type, location, and year of installation for electric vehicle supply equipment that is expected to be necessary to support forecasted electric vehicle penetration and usage within the state;</w:t>
      </w:r>
    </w:p>
    <w:p>
      <w:pPr>
        <w:spacing w:before="0" w:after="0" w:line="408" w:lineRule="exact"/>
        <w:ind w:left="0" w:right="0" w:firstLine="576"/>
        <w:jc w:val="left"/>
      </w:pPr>
      <w:r>
        <w:rPr/>
        <w:t xml:space="preserve">(b) Electric vehicle adoption, usage, technological profiles, and any other characteristics necessary to model future electric vehicle penetration levels and use cases that impact electric vehicle supply equipment needs within the state;</w:t>
      </w:r>
    </w:p>
    <w:p>
      <w:pPr>
        <w:spacing w:before="0" w:after="0" w:line="408" w:lineRule="exact"/>
        <w:ind w:left="0" w:right="0" w:firstLine="576"/>
        <w:jc w:val="left"/>
      </w:pPr>
      <w:r>
        <w:rPr/>
        <w:t xml:space="preserve">(c) The estimated energy and capacity demand based on inputs from (b) of this subsection;</w:t>
      </w:r>
    </w:p>
    <w:p>
      <w:pPr>
        <w:spacing w:before="0" w:after="0" w:line="408" w:lineRule="exact"/>
        <w:ind w:left="0" w:right="0" w:firstLine="576"/>
        <w:jc w:val="left"/>
      </w:pPr>
      <w:r>
        <w:rPr/>
        <w:t xml:space="preserve">(d) Boundaries of political subdivisions including, but not limited to:</w:t>
      </w:r>
    </w:p>
    <w:p>
      <w:pPr>
        <w:spacing w:before="0" w:after="0" w:line="408" w:lineRule="exact"/>
        <w:ind w:left="0" w:right="0" w:firstLine="576"/>
        <w:jc w:val="left"/>
      </w:pPr>
      <w:r>
        <w:rPr/>
        <w:t xml:space="preserve">(i) Retail electricity suppliers;</w:t>
      </w:r>
    </w:p>
    <w:p>
      <w:pPr>
        <w:spacing w:before="0" w:after="0" w:line="408" w:lineRule="exact"/>
        <w:ind w:left="0" w:right="0" w:firstLine="576"/>
        <w:jc w:val="left"/>
      </w:pPr>
      <w:r>
        <w:rPr/>
        <w:t xml:space="preserve">(ii) Public transportation agency boundaries;</w:t>
      </w:r>
    </w:p>
    <w:p>
      <w:pPr>
        <w:spacing w:before="0" w:after="0" w:line="408" w:lineRule="exact"/>
        <w:ind w:left="0" w:right="0" w:firstLine="576"/>
        <w:jc w:val="left"/>
      </w:pPr>
      <w:r>
        <w:rPr/>
        <w:t xml:space="preserve">(iii) Municipalities;</w:t>
      </w:r>
    </w:p>
    <w:p>
      <w:pPr>
        <w:spacing w:before="0" w:after="0" w:line="408" w:lineRule="exact"/>
        <w:ind w:left="0" w:right="0" w:firstLine="576"/>
        <w:jc w:val="left"/>
      </w:pPr>
      <w:r>
        <w:rPr/>
        <w:t xml:space="preserve">(iv) Counties; and</w:t>
      </w:r>
    </w:p>
    <w:p>
      <w:pPr>
        <w:spacing w:before="0" w:after="0" w:line="408" w:lineRule="exact"/>
        <w:ind w:left="0" w:right="0" w:firstLine="576"/>
        <w:jc w:val="left"/>
      </w:pPr>
      <w:r>
        <w:rPr/>
        <w:t xml:space="preserve">(v) Federally recognized tribal governments;</w:t>
      </w:r>
    </w:p>
    <w:p>
      <w:pPr>
        <w:spacing w:before="0" w:after="0" w:line="408" w:lineRule="exact"/>
        <w:ind w:left="0" w:right="0" w:firstLine="576"/>
        <w:jc w:val="left"/>
      </w:pPr>
      <w:r>
        <w:rPr/>
        <w:t xml:space="preserve">(e) Existing and known publicly or privately owned level 2, direct current fast charge, and refueling infrastructure. The department must identify gas stations, convenience stores, and other small retailers that are colocated with existing and known electric vehicle charging infrastructure identified under this subsection;</w:t>
      </w:r>
    </w:p>
    <w:p>
      <w:pPr>
        <w:spacing w:before="0" w:after="0" w:line="408" w:lineRule="exact"/>
        <w:ind w:left="0" w:right="0" w:firstLine="576"/>
        <w:jc w:val="left"/>
      </w:pPr>
      <w:r>
        <w:rPr/>
        <w:t xml:space="preserve">(f) A public interface designed to provide any user the ability to determine the forecasted charging and refueling infrastructure needs within a provided geographic boundary, including those listed under (d) of this subsection; and</w:t>
      </w:r>
    </w:p>
    <w:p>
      <w:pPr>
        <w:spacing w:before="0" w:after="0" w:line="408" w:lineRule="exact"/>
        <w:ind w:left="0" w:right="0" w:firstLine="576"/>
        <w:jc w:val="left"/>
      </w:pPr>
      <w:r>
        <w:rPr/>
        <w:t xml:space="preserve">(g) The ability for all data tracked within the tool to be downloadable or usable within a separate mapping and forecasting tool.</w:t>
      </w:r>
    </w:p>
    <w:p>
      <w:pPr>
        <w:spacing w:before="0" w:after="0" w:line="408" w:lineRule="exact"/>
        <w:ind w:left="0" w:right="0" w:firstLine="576"/>
        <w:jc w:val="left"/>
      </w:pPr>
      <w:r>
        <w:rPr/>
        <w:t xml:space="preserve">(5) The tool must, if feasible, integrate scenarios including:</w:t>
      </w:r>
    </w:p>
    <w:p>
      <w:pPr>
        <w:spacing w:before="0" w:after="0" w:line="408" w:lineRule="exact"/>
        <w:ind w:left="0" w:right="0" w:firstLine="576"/>
        <w:jc w:val="left"/>
      </w:pPr>
      <w:r>
        <w:rPr/>
        <w:t xml:space="preserve">(a) Varying levels of public transportation utilization;</w:t>
      </w:r>
    </w:p>
    <w:p>
      <w:pPr>
        <w:spacing w:before="0" w:after="0" w:line="408" w:lineRule="exact"/>
        <w:ind w:left="0" w:right="0" w:firstLine="576"/>
        <w:jc w:val="left"/>
      </w:pPr>
      <w:r>
        <w:rPr/>
        <w:t xml:space="preserve">(b) Varying levels of active transportation usage, such as biking or walking;</w:t>
      </w:r>
    </w:p>
    <w:p>
      <w:pPr>
        <w:spacing w:before="0" w:after="0" w:line="408" w:lineRule="exact"/>
        <w:ind w:left="0" w:right="0" w:firstLine="576"/>
        <w:jc w:val="left"/>
      </w:pPr>
      <w:r>
        <w:rPr/>
        <w:t xml:space="preserve">(c) Vehicle miles traveled amounts above and below the baseline;</w:t>
      </w:r>
    </w:p>
    <w:p>
      <w:pPr>
        <w:spacing w:before="0" w:after="0" w:line="408" w:lineRule="exact"/>
        <w:ind w:left="0" w:right="0" w:firstLine="576"/>
        <w:jc w:val="left"/>
      </w:pPr>
      <w:r>
        <w:rPr/>
        <w:t xml:space="preserve">(d) Adoption of autonomous and shared mobility services; and</w:t>
      </w:r>
    </w:p>
    <w:p>
      <w:pPr>
        <w:spacing w:before="0" w:after="0" w:line="408" w:lineRule="exact"/>
        <w:ind w:left="0" w:right="0" w:firstLine="576"/>
        <w:jc w:val="left"/>
      </w:pPr>
      <w:r>
        <w:rPr/>
        <w:t xml:space="preserve">(e) Forecasts capturing each utility service area's relative level of zero emissions vehicle use that would achieve each utility service area's relative emissions reductions consistent with RCW 70A.45.020.</w:t>
      </w:r>
    </w:p>
    <w:p>
      <w:pPr>
        <w:spacing w:before="0" w:after="0" w:line="408" w:lineRule="exact"/>
        <w:ind w:left="0" w:right="0" w:firstLine="576"/>
        <w:jc w:val="left"/>
      </w:pPr>
      <w:r>
        <w:rPr/>
        <w:t xml:space="preserve">(6) To support highly impacted communities and vulnerable populations disproportionately burdened by transportation-related emissions and to ensure economic and mobility benefits flow to communities that have historically received less investment in infrastructure, the mapping and forecasting tool must integrate population, health, environmental, and socioeconomic data on a census tract basis. The department may use existing data used by other state or federal agencies. The department must consult with the department of health, the office of equity, the department of ecology, and other agencies as necessary in order to ensure the tool properly integrates cumulative impact analyses best practices and to ensure that the tool is developed in coordination with other state government administrative efforts to identify disproportionately impacted communities.</w:t>
      </w:r>
    </w:p>
    <w:p>
      <w:pPr>
        <w:spacing w:before="0" w:after="0" w:line="408" w:lineRule="exact"/>
        <w:ind w:left="0" w:right="0" w:firstLine="576"/>
        <w:jc w:val="left"/>
      </w:pPr>
      <w:r>
        <w:rPr/>
        <w:t xml:space="preserve">(7) The mapping and forecasting tool must, to the extent appropriate, integrate related analyses, such as the department of commerce's state energy strategy, the joint transportation committee's public fleet electrification study, the west coast collaborative's alternative fuel infrastructure corridor coalition report, and other related electric vehicle supply equipment assessments as deemed appropriate. To the extent that the mapping and forecasting tool is used by the department as the basis for the identification of recommended future electric vehicle charging sites, the department must consider recommending sites that are colocated with small retailers, including gas stations and convenience stores, and other amenities.</w:t>
      </w:r>
    </w:p>
    <w:p>
      <w:pPr>
        <w:spacing w:before="0" w:after="0" w:line="408" w:lineRule="exact"/>
        <w:ind w:left="0" w:right="0" w:firstLine="576"/>
        <w:jc w:val="left"/>
      </w:pPr>
      <w:r>
        <w:rPr/>
        <w:t xml:space="preserve">(8) Where appropriate and feasible, the mapping and forecasting tool must incorporate infrastructure located at or near the border in neighboring state and provincial jurisdictions.</w:t>
      </w:r>
    </w:p>
    <w:p>
      <w:pPr>
        <w:spacing w:before="0" w:after="0" w:line="408" w:lineRule="exact"/>
        <w:ind w:left="0" w:right="0" w:firstLine="576"/>
        <w:jc w:val="left"/>
      </w:pPr>
      <w:r>
        <w:rPr/>
        <w:t xml:space="preserve">(9) In designing the mapping and forecasting tool, the department must coordinate with the department of commerce, the department of ecology, the utilities and transportation commission, and other state agencies as needed in order to ensure the mapping and forecasting tool is able to successfully facilitate other state agency programs that involve deployment of electric vehicle supply equipment.</w:t>
      </w:r>
    </w:p>
    <w:p>
      <w:pPr>
        <w:spacing w:before="0" w:after="0" w:line="408" w:lineRule="exact"/>
        <w:ind w:left="0" w:right="0" w:firstLine="576"/>
        <w:jc w:val="left"/>
      </w:pPr>
      <w:r>
        <w:rPr/>
        <w:t xml:space="preserve">(10) The department must conduct a stakeholder process in developing the mapping and forecasting tool to ensure the tool supports the needs of communities, public agencies, and relevant private organizations. The stakeholder process must involve stakeholders, including but not limited to electric utilities, early in the development of the tool.</w:t>
      </w:r>
    </w:p>
    <w:p>
      <w:pPr>
        <w:spacing w:before="0" w:after="0" w:line="408" w:lineRule="exact"/>
        <w:ind w:left="0" w:right="0" w:firstLine="576"/>
        <w:jc w:val="left"/>
      </w:pPr>
      <w:r>
        <w:rPr/>
        <w:t xml:space="preserve">(11) The department may contract with the department of commerce or consultants, or both, to develop and implement all or portions of the mapping and forecasting tool. The department may rely on or, to the extent necessary, contract for privately maintained data sufficient to develop the elements specified in subsection (4) of this section.</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"Charging infrastructure" means a unit of fueling infrastructure that supplies electric energy for the recharging of battery electric vehicles.</w:t>
      </w:r>
    </w:p>
    <w:p>
      <w:pPr>
        <w:spacing w:before="0" w:after="0" w:line="408" w:lineRule="exact"/>
        <w:ind w:left="0" w:right="0" w:firstLine="576"/>
        <w:jc w:val="left"/>
      </w:pPr>
      <w:r>
        <w:rPr/>
        <w:t xml:space="preserve">(b) "Direct current fast charger" means infrastructure that supplies electricity to battery electric vehicles at capacities no less than 50 kilowatts, typically using 208/408 volt three-phase direct current electricity.</w:t>
      </w:r>
    </w:p>
    <w:p>
      <w:pPr>
        <w:spacing w:before="0" w:after="0" w:line="408" w:lineRule="exact"/>
        <w:ind w:left="0" w:right="0" w:firstLine="576"/>
        <w:jc w:val="left"/>
      </w:pPr>
      <w:r>
        <w:rPr/>
        <w:t xml:space="preserve">(c) "Electric vehicle" means any craft, vessel, automobile, public transportation vehicle, or equipment that transports people or goods and operates, either partially or exclusively, on electrical energy from an off-board source that is stored onboard for motive purpose.</w:t>
      </w:r>
    </w:p>
    <w:p>
      <w:pPr>
        <w:spacing w:before="0" w:after="0" w:line="408" w:lineRule="exact"/>
        <w:ind w:left="0" w:right="0" w:firstLine="576"/>
        <w:jc w:val="left"/>
      </w:pPr>
      <w:r>
        <w:rPr/>
        <w:t xml:space="preserve">(d) "Electric vehicle supply equipment" means charging infrastructure and hydrogen refueling infrastructure.</w:t>
      </w:r>
    </w:p>
    <w:p>
      <w:pPr>
        <w:spacing w:before="0" w:after="0" w:line="408" w:lineRule="exact"/>
        <w:ind w:left="0" w:right="0" w:firstLine="576"/>
        <w:jc w:val="left"/>
      </w:pPr>
      <w:r>
        <w:rPr/>
        <w:t xml:space="preserve">(e) "Level 2 charger" means infrastructure that supplies electricity to battery electric vehicles at 240 volts and equal to or less than 80 amps.</w:t>
      </w:r>
    </w:p>
    <w:p>
      <w:pPr>
        <w:spacing w:before="0" w:after="0" w:line="408" w:lineRule="exact"/>
        <w:ind w:left="0" w:right="0" w:firstLine="576"/>
        <w:jc w:val="left"/>
      </w:pPr>
      <w:r>
        <w:rPr/>
        <w:t xml:space="preserve">(f) "Refueling infrastructure" means a unit of fueling infrastructure that supplies hydrogen for the resupply of hydrogen fuel cell electric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2019 c 288 s 14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 </w:t>
      </w:r>
      <w:r>
        <w:t>((</w:t>
      </w:r>
      <w:r>
        <w:rPr>
          <w:strike/>
        </w:rPr>
        <w:t xml:space="preserve">and</w:t>
      </w:r>
      <w:r>
        <w:t>))</w:t>
      </w:r>
    </w:p>
    <w:p>
      <w:pPr>
        <w:spacing w:before="0" w:after="0" w:line="408" w:lineRule="exact"/>
        <w:ind w:left="0" w:right="0" w:firstLine="576"/>
        <w:jc w:val="left"/>
      </w:pPr>
      <w:r>
        <w:rPr/>
        <w:t xml:space="preserve">(l) A ten-year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w:t>
      </w:r>
      <w:r>
        <w:rPr>
          <w:u w:val="single"/>
        </w:rPr>
        <w:t xml:space="preserve">; and</w:t>
      </w:r>
    </w:p>
    <w:p>
      <w:pPr>
        <w:spacing w:before="0" w:after="0" w:line="408" w:lineRule="exact"/>
        <w:ind w:left="0" w:right="0" w:firstLine="576"/>
        <w:jc w:val="left"/>
      </w:pPr>
      <w:r>
        <w:rPr>
          <w:u w:val="single"/>
        </w:rPr>
        <w:t xml:space="preserve">(m) An analysis of how the plan accounts for:</w:t>
      </w:r>
    </w:p>
    <w:p>
      <w:pPr>
        <w:spacing w:before="0" w:after="0" w:line="408" w:lineRule="exact"/>
        <w:ind w:left="0" w:right="0" w:firstLine="576"/>
        <w:jc w:val="left"/>
      </w:pPr>
      <w:r>
        <w:rPr>
          <w:u w:val="single"/>
        </w:rPr>
        <w:t xml:space="preserve">(i) Modeled load forecast scenarios that consider the anticipated levels of zero emissions vehicle use in a utility's service area, including anticipated levels of zero emissions vehicle use in the utility's service area provided in section 2 of this act, if feasible</w:t>
      </w:r>
      <w:r>
        <w:rPr>
          <w:u w:val="single"/>
        </w:rPr>
        <w:t xml:space="preserve">;</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(1)(m)(iii) applies only to plans due to be filed after September 1, 2023</w:t>
      </w:r>
      <w:r>
        <w:rPr/>
        <w:t xml:space="preserve">.</w:t>
      </w:r>
    </w:p>
    <w:p>
      <w:pPr>
        <w:spacing w:before="0" w:after="0" w:line="408" w:lineRule="exact"/>
        <w:ind w:left="0" w:right="0" w:firstLine="576"/>
        <w:jc w:val="left"/>
      </w:pPr>
      <w:r>
        <w:rPr/>
        <w:t xml:space="preserve">(2) 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 </w:t>
      </w:r>
      <w:r>
        <w:t>((</w:t>
      </w:r>
      <w:r>
        <w:rPr>
          <w:strike/>
        </w:rPr>
        <w:t xml:space="preserve">and</w:t>
      </w:r>
      <w:r>
        <w:t>))</w:t>
      </w:r>
    </w:p>
    <w:p>
      <w:pPr>
        <w:spacing w:before="0" w:after="0" w:line="408" w:lineRule="exact"/>
        <w:ind w:left="0" w:right="0" w:firstLine="576"/>
        <w:jc w:val="left"/>
      </w:pPr>
      <w:r>
        <w:rPr/>
        <w:t xml:space="preserve">(d) By December 31, 2020, and in every resource plan thereafter, identifies how the utility plans over a ten-year period to implement RCW 19.405.040 and 19.405.050</w:t>
      </w:r>
      <w:r>
        <w:rPr>
          <w:u w:val="single"/>
        </w:rPr>
        <w:t xml:space="preserve">; and</w:t>
      </w:r>
    </w:p>
    <w:p>
      <w:pPr>
        <w:spacing w:before="0" w:after="0" w:line="408" w:lineRule="exact"/>
        <w:ind w:left="0" w:right="0" w:firstLine="576"/>
        <w:jc w:val="left"/>
      </w:pPr>
      <w:r>
        <w:rPr>
          <w:u w:val="single"/>
        </w:rPr>
        <w:t xml:space="preserve">(e) Accounts for:</w:t>
      </w:r>
    </w:p>
    <w:p>
      <w:pPr>
        <w:spacing w:before="0" w:after="0" w:line="408" w:lineRule="exact"/>
        <w:ind w:left="0" w:right="0" w:firstLine="576"/>
        <w:jc w:val="left"/>
      </w:pPr>
      <w:r>
        <w:rPr>
          <w:u w:val="single"/>
        </w:rPr>
        <w:t xml:space="preserve">(i) Modeled load forecast scenarios that consider the anticipated levels of zero emissions vehicle use in a utility's service area, including anticipated levels of zero emissions vehicle use in the utility's service area provided in section 2 of this act, if feasible</w:t>
      </w:r>
      <w:r>
        <w:rPr>
          <w:u w:val="single"/>
        </w:rPr>
        <w:t xml:space="preserve">;</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(5)(e)(iii) applies only to plans due to be filed after September 1, 2023</w:t>
      </w:r>
      <w:r>
        <w:rPr/>
        <w:t xml:space="preserve">.</w:t>
      </w:r>
    </w:p>
    <w:p>
      <w:pPr>
        <w:spacing w:before="0" w:after="0" w:line="408" w:lineRule="exact"/>
        <w:ind w:left="0" w:right="0" w:firstLine="576"/>
        <w:jc w:val="left"/>
      </w:pPr>
      <w:r>
        <w:rPr/>
        <w:t xml:space="preserve">(6)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2019 c 285 s 18 are each amended to read as follows:</w:t>
      </w:r>
    </w:p>
    <w:p>
      <w:pPr>
        <w:spacing w:before="0" w:after="0" w:line="408" w:lineRule="exact"/>
        <w:ind w:left="0" w:right="0" w:firstLine="576"/>
        <w:jc w:val="left"/>
      </w:pPr>
      <w:r>
        <w:rPr/>
        <w:t xml:space="preserve">(1) The building code council shall adopt rules for electric vehicle infrastructure requirements. Rules adopted by the state building code council must consider applicable national and international standards and be consistent with rules adopted under RCW 19.28.281.</w:t>
      </w:r>
    </w:p>
    <w:p>
      <w:pPr>
        <w:spacing w:before="0" w:after="0" w:line="408" w:lineRule="exact"/>
        <w:ind w:left="0" w:right="0" w:firstLine="576"/>
        <w:jc w:val="left"/>
      </w:pPr>
      <w:r>
        <w:rPr/>
        <w:t xml:space="preserve">(2)(a) Except as provided in (b) of this subsection, the rules adopted under this section must require electric vehicle charging capability at all new buildings that provide on-site parking. Where parking is provided, the greater of one parking space or ten percent of parking spaces, rounded to the next whole number, must be provided with wiring or raceway sized to accommodate 208/240 V 40-amp or equivalent electric vehicle charging. Electrical rooms serving buildings with on-site parking must be sized to accommodate the potential for electrical equipment and distribution required to serve a minimum of twenty percent of the total parking spaces with 208/240 V 40-amp or equivalent electric vehicle charging. Load management infrastructure may be used to adjust the size and capacity of the required building electric service equipment and circuits on the customer facilities, as well as electric utility-owned infrastructure, as allowed by applicable local and national electrical code. For accessible parking spaces, the greater of one parking space or ten percent of accessible parking spaces, rounded to the next whole number, must be provided with electric vehicle charging infrastructure that may also serve adjacent parking spaces not designated as accessible parking.</w:t>
      </w:r>
    </w:p>
    <w:p>
      <w:pPr>
        <w:spacing w:before="0" w:after="0" w:line="408" w:lineRule="exact"/>
        <w:ind w:left="0" w:right="0" w:firstLine="576"/>
        <w:jc w:val="left"/>
      </w:pPr>
      <w:r>
        <w:rPr/>
        <w:t xml:space="preserve">(b) For occupancies classified as assembly, education, or mercantile, the requirements of this section apply only to employee parking spaces. The requirements of this section do not apply to occupancies classified as </w:t>
      </w:r>
      <w:r>
        <w:t>((</w:t>
      </w:r>
      <w:r>
        <w:rPr>
          <w:strike/>
        </w:rPr>
        <w:t xml:space="preserve">residential R-3,</w:t>
      </w:r>
      <w:r>
        <w:t>))</w:t>
      </w:r>
      <w:r>
        <w:rPr/>
        <w:t xml:space="preserve"> utility</w:t>
      </w:r>
      <w:r>
        <w:t>((</w:t>
      </w:r>
      <w:r>
        <w:rPr>
          <w:strike/>
        </w:rPr>
        <w:t xml:space="preserve">,</w:t>
      </w:r>
      <w:r>
        <w:t>))</w:t>
      </w:r>
      <w:r>
        <w:rPr/>
        <w:t xml:space="preserve"> or miscellaneous.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for rules related to residential R-3, the</w:t>
      </w:r>
      <w:r>
        <w:rPr/>
        <w:t xml:space="preserve"> required rules required under this subsection must be implemented by July 1, 2021. </w:t>
      </w:r>
      <w:r>
        <w:rPr>
          <w:u w:val="single"/>
        </w:rPr>
        <w:t xml:space="preserve">The rules required under this subsection for occupancies classified as residential R-3 must be implemented by July 1, 2024.</w:t>
      </w:r>
    </w:p>
    <w:p>
      <w:pPr>
        <w:spacing w:before="0" w:after="0" w:line="408" w:lineRule="exact"/>
        <w:ind w:left="0" w:right="0" w:firstLine="576"/>
        <w:jc w:val="left"/>
      </w:pPr>
      <w:r>
        <w:rPr>
          <w:u w:val="single"/>
        </w:rPr>
        <w:t xml:space="preserve">(3)(a) The rules adopted under this section must exceed the specific minimum requirements established under subsection (2) of this section for all types of residential and commercial buildings to the extent necessary to support the anticipated levels of zero emissions vehicle use that result from the zero emissions vehicle program requirements in chapter 70A.30 RCW and that result in emissions reductions consistent with RCW 70A.45.020.</w:t>
      </w:r>
    </w:p>
    <w:p>
      <w:pPr>
        <w:spacing w:before="0" w:after="0" w:line="408" w:lineRule="exact"/>
        <w:ind w:left="0" w:right="0" w:firstLine="576"/>
        <w:jc w:val="left"/>
      </w:pPr>
      <w:r>
        <w:rPr>
          <w:u w:val="single"/>
        </w:rPr>
        <w:t xml:space="preserve">(b) The rules required under this subsection must be implemented by July 1, 2024, and may be periodically updated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w:t>
      </w:r>
      <w:r>
        <w:rPr>
          <w:u w:val="single"/>
        </w:rPr>
        <w:t xml:space="preserve">, including section 2 of this act</w:t>
      </w:r>
      <w:r>
        <w:rPr/>
        <w:t xml:space="preserve">.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a road usage charge, or equivalent fee or tax based on vehicle miles traveled, is in effect in the state of Washington with at least 75 percent of the registered passenger and light duty vehicles in the state participating, then a goal is established for the state that all publicly owned and privately owned passenger and light duty vehicles of model year 2030 or later that are sold, purchased, or registered in Washington state be electric vehicles. The department of licensing shall provide notice to the secretary of the senate and the chief clerk of the house of representatives, and the office of the governor when the road usage charge is in effect and the required number of registered vehicles are participating.</w:t>
      </w:r>
    </w:p>
    <w:p>
      <w:pPr>
        <w:spacing w:before="0" w:after="0" w:line="408" w:lineRule="exact"/>
        <w:ind w:left="0" w:right="0" w:firstLine="576"/>
        <w:jc w:val="left"/>
      </w:pPr>
      <w:r>
        <w:rPr/>
        <w:t xml:space="preserve">(2) The goal established in this section does not supersede any other law, and the other law controls if inconsistent with the goal established in this section.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"Electric vehicles" are vehicles that use energy stored in rechargeable battery packs or in hydrogen and which rely solely on electric motors for propulsion.</w:t>
      </w:r>
    </w:p>
    <w:p>
      <w:pPr>
        <w:spacing w:before="0" w:after="0" w:line="408" w:lineRule="exact"/>
        <w:ind w:left="0" w:right="0" w:firstLine="576"/>
        <w:jc w:val="left"/>
      </w:pPr>
      <w:r>
        <w:rPr/>
        <w:t xml:space="preserve">(b) "Passenger and light duty vehicles" are on-road motor vehicles with a scale weight of up to 10,000 pounds and three or more wheels. Emergency services vehicles are not passenger and light duty vehicles.</w:t>
      </w:r>
    </w:p>
    <w:p>
      <w:pPr>
        <w:spacing w:before="0" w:after="0" w:line="408" w:lineRule="exact"/>
        <w:ind w:left="0" w:right="0" w:firstLine="576"/>
        <w:jc w:val="left"/>
      </w:pPr>
      <w:r>
        <w:rPr/>
        <w:t xml:space="preserve">(4) Nothing in this section:</w:t>
      </w:r>
    </w:p>
    <w:p>
      <w:pPr>
        <w:spacing w:before="0" w:after="0" w:line="408" w:lineRule="exact"/>
        <w:ind w:left="0" w:right="0" w:firstLine="576"/>
        <w:jc w:val="left"/>
      </w:pPr>
      <w:r>
        <w:rPr/>
        <w:t xml:space="preserve">(a) Authorizes any state agency to restrict the purchase, sale, or registration of vehicles that are not electric vehicles; or</w:t>
      </w:r>
    </w:p>
    <w:p>
      <w:pPr>
        <w:spacing w:before="0" w:after="0" w:line="408" w:lineRule="exact"/>
        <w:ind w:left="0" w:right="0" w:firstLine="576"/>
        <w:jc w:val="left"/>
      </w:pPr>
      <w:r>
        <w:rPr/>
        <w:t xml:space="preserve">(b) Changes or affects the directive to the department of ecology to implement the zero emission vehicle program required under RCW 70A.30.010.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constitutes a new chapter in </w:t>
      </w:r>
      <w:r>
        <w:rPr/>
        <w:t xml:space="preserve">Title </w:t>
      </w:r>
      <w:r>
        <w:t xml:space="preserve">70A</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13, 2021, with the exception of certain items that were vetoed.</w:t>
      </w:r>
    </w:p>
    <w:p>
      <w:pPr>
        <w:spacing w:before="0" w:after="0" w:line="408" w:lineRule="exact"/>
        <w:ind w:left="0" w:right="0" w:firstLine="576"/>
        <w:jc w:val="left"/>
      </w:pPr>
      <w:r>
        <w:rPr/>
        <w:t xml:space="preserve">Filed in Office of Secretary of State May 13, 2021.</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6, Engrossed Second Substitute House Bill No. 1287 entitled:</w:t>
      </w:r>
    </w:p>
    <w:p>
      <w:pPr>
        <w:spacing w:before="120" w:after="0" w:line="408" w:lineRule="exact"/>
        <w:ind w:left="0" w:right="0" w:firstLine="576"/>
        <w:jc w:val="left"/>
      </w:pPr>
      <w:r>
        <w:rPr/>
        <w:t xml:space="preserve">"AN ACT Relating to preparedness for a zero emissions transportation future."</w:t>
      </w:r>
    </w:p>
    <w:p>
      <w:pPr>
        <w:spacing w:before="120" w:after="0" w:line="408" w:lineRule="exact"/>
        <w:ind w:left="0" w:right="0" w:firstLine="0"/>
        <w:jc w:val="left"/>
      </w:pPr>
      <w:r>
        <w:rPr/>
        <w:t xml:space="preserve">Section 6 of the bill ties a very important goal of electrifying our transportation sector to the implementation of a road usage charge program. Transportation is our state's greatest source of carbon emissions and we cannot afford to link an important goal like getting to 100% zero-emission vehicles to a separate policy that will take time to design and implement.</w:t>
      </w:r>
    </w:p>
    <w:p>
      <w:pPr>
        <w:spacing w:before="120" w:after="0" w:line="408" w:lineRule="exact"/>
        <w:ind w:left="0" w:right="0" w:firstLine="0"/>
        <w:jc w:val="left"/>
      </w:pPr>
      <w:r>
        <w:rPr/>
        <w:t xml:space="preserve">I am committed to getting to zero emission transportation as quickly as possible. In fact, Washington is leading the way by building electric vehicle charging infrastructure, procuring zero-emission transit vehicles and building electric ferries, providing financial incentives for electric vehicle purchases, and advocating for a national 100% zero-emission vehicle standard by 2035.</w:t>
      </w:r>
    </w:p>
    <w:p>
      <w:pPr>
        <w:spacing w:before="120" w:after="0" w:line="408" w:lineRule="exact"/>
        <w:ind w:left="0" w:right="0" w:firstLine="0"/>
        <w:jc w:val="left"/>
      </w:pPr>
      <w:r>
        <w:rPr/>
        <w:t xml:space="preserve">I am also open to exploring the potential of a road usage charge program as part of a larger transportation revenue discussion. I look forward to working with legislators and stakeholders to figure out how to design a road usage charge that ensures the privacy of drivers, helps meet our zero-emission transportation goals, and ensures low-income and overburdened communities are not doubly penalized after already suffering through longer commutes.</w:t>
      </w:r>
    </w:p>
    <w:p>
      <w:pPr>
        <w:spacing w:before="120" w:after="0" w:line="408" w:lineRule="exact"/>
        <w:ind w:left="0" w:right="0" w:firstLine="0"/>
        <w:jc w:val="left"/>
      </w:pPr>
      <w:r>
        <w:rPr/>
        <w:t xml:space="preserve">Yet setting and achieving a goal of 100% electric vehicles is too important to tie to the implementation of a separate policy like the road usage charge.</w:t>
      </w:r>
    </w:p>
    <w:p>
      <w:pPr>
        <w:spacing w:before="120" w:after="0" w:line="408" w:lineRule="exact"/>
        <w:ind w:left="0" w:right="0" w:firstLine="0"/>
        <w:jc w:val="left"/>
      </w:pPr>
      <w:r>
        <w:rPr/>
        <w:t xml:space="preserve">For these reasons I have vetoed Section 6 of Engrossed Second Substitute House Bill No. 1287.</w:t>
      </w:r>
    </w:p>
    <w:p>
      <w:pPr>
        <w:spacing w:before="120" w:after="0" w:line="408" w:lineRule="exact"/>
        <w:ind w:left="0" w:right="0" w:firstLine="0"/>
        <w:jc w:val="left"/>
      </w:pPr>
      <w:r>
        <w:rPr/>
        <w:t xml:space="preserve">With the exception of Section 6, Engrossed Second Substitute House Bill No. 1287 is approved."</w:t>
      </w:r>
    </w:p>
    <w:sectPr>
      <w:pgNumType w:start="1"/>
      <w:footerReference xmlns:r="http://schemas.openxmlformats.org/officeDocument/2006/relationships" r:id="R26f98e0f8064456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c11b6401942cb" /><Relationship Type="http://schemas.openxmlformats.org/officeDocument/2006/relationships/footer" Target="/word/footer1.xml" Id="R26f98e0f8064456e" /></Relationships>
</file>