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b9645a3f943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1279</w:t>
      </w:r>
    </w:p>
    <w:p>
      <w:pPr>
        <w:jc w:val="center"/>
        <w:spacing w:before="480" w:after="0" w:line="240"/>
      </w:pPr>
      <w:r>
        <w:t xml:space="preserve">Chapter </w:t>
      </w:r>
      <w:r>
        <w:rPr/>
        <w:t xml:space="preserve">112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MAIN STREET TAX INCENTIVE PROGRAM—COVID-19</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sections 2 and 3, which become effective October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21, 2021 3:13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Rule, Ramel, Bateman, Boehnke, Shewmake, Chapman, Ryu, J. Johnson, Wicks, Senn, Hoff, Walen, Peterson, Hackney, Rude, Callan, Leavitt, Vick, and Harris-Talley)</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Washington main street program tax incentive to respond to the economic impacts of the COVID-19 pandemic; amending RCW 82.73.030; adding a new section to chapter 82.73 RCW; creating a new section; repealing 2017 3rd sp.s. c 37 s 1406 (uncodified);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a result of the economic impacts of the COVID-19 pandemic, certain businesses that made contributions to a Washington main street community or to the main street trust fund in 2020, and qualified for a credit against the business and occupation tax or public utility tax, have received insufficient revenues, and have insufficient tax liabilities, to allow them to use the full amount of the credit for which they have qualified. With this act, the legislature intends to address this finding by allowing credits earned as result of contributions made in calendar year 2020 to be carried over for an additional two years, and by providing an additional credit against the business and occupation tax or public utility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2017 3rd sp.s. c 37 s 103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 Except as provided in (b) of this subsection, the</w:t>
      </w:r>
      <w:r>
        <w:rPr/>
        <w:t xml:space="preserve"> credit allowed under this section is limited to an amount equal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Seventy-five percent of the approved contribution made by a person to a program;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of the approved contribution made by a person to the main street trust fund.</w:t>
      </w:r>
    </w:p>
    <w:p>
      <w:pPr>
        <w:spacing w:before="0" w:after="0" w:line="408" w:lineRule="exact"/>
        <w:ind w:left="0" w:right="0" w:firstLine="576"/>
        <w:jc w:val="left"/>
      </w:pPr>
      <w:r>
        <w:rPr>
          <w:u w:val="single"/>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w:t>
      </w:r>
      <w:r>
        <w:t>((</w:t>
      </w:r>
      <w:r>
        <w:rPr>
          <w:strike/>
        </w:rPr>
        <w:t xml:space="preserve">two million five hundred thousand dollars</w:t>
      </w:r>
      <w:r>
        <w:t>))</w:t>
      </w:r>
      <w:r>
        <w:rPr/>
        <w:t xml:space="preserve"> </w:t>
      </w:r>
      <w:r>
        <w:rPr>
          <w:u w:val="single"/>
        </w:rPr>
        <w:t xml:space="preserve">$5,000,000</w:t>
      </w:r>
      <w:r>
        <w:rPr/>
        <w:t xml:space="preserve"> in any calendar year.</w:t>
      </w:r>
    </w:p>
    <w:p>
      <w:pPr>
        <w:spacing w:before="0" w:after="0" w:line="408" w:lineRule="exact"/>
        <w:ind w:left="0" w:right="0" w:firstLine="576"/>
        <w:jc w:val="left"/>
      </w:pPr>
      <w:r>
        <w:rPr/>
        <w:t xml:space="preserve">(5)(a)(i) The total credits allowed under this chapter for contributions made to each program may not exceed </w:t>
      </w:r>
      <w:r>
        <w:t>((</w:t>
      </w:r>
      <w:r>
        <w:rPr>
          <w:strike/>
        </w:rPr>
        <w:t xml:space="preserve">one hundred thousand dollars</w:t>
      </w:r>
      <w:r>
        <w:t>))</w:t>
      </w:r>
      <w:r>
        <w:rPr/>
        <w:t xml:space="preserve"> </w:t>
      </w:r>
      <w:r>
        <w:rPr>
          <w:u w:val="single"/>
        </w:rPr>
        <w:t xml:space="preserve">$160,000</w:t>
      </w:r>
      <w:r>
        <w:rPr/>
        <w:t xml:space="preserve"> in a calendar year.</w:t>
      </w:r>
    </w:p>
    <w:p>
      <w:pPr>
        <w:spacing w:before="0" w:after="0" w:line="408" w:lineRule="exact"/>
        <w:ind w:left="0" w:right="0" w:firstLine="576"/>
        <w:jc w:val="left"/>
      </w:pPr>
      <w:r>
        <w:rPr/>
        <w:t xml:space="preserve">(ii) Between </w:t>
      </w:r>
      <w:r>
        <w:rPr>
          <w:u w:val="single"/>
        </w:rPr>
        <w:t xml:space="preserve">8:00 a.m., Pacific standard time, on</w:t>
      </w:r>
      <w:r>
        <w:rPr/>
        <w:t xml:space="preserve"> the second Monday in January and </w:t>
      </w:r>
      <w:r>
        <w:t>((</w:t>
      </w:r>
      <w:r>
        <w:rPr>
          <w:strike/>
        </w:rPr>
        <w:t xml:space="preserve">March 31st</w:t>
      </w:r>
      <w:r>
        <w:t>))</w:t>
      </w:r>
      <w:r>
        <w:rPr/>
        <w:t xml:space="preserve"> </w:t>
      </w:r>
      <w:r>
        <w:rPr>
          <w:u w:val="single"/>
        </w:rPr>
        <w:t xml:space="preserve">8:00 a.m., Pacific daylight time, on April 1st</w:t>
      </w:r>
      <w:r>
        <w:rPr/>
        <w:t xml:space="preserve">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two hundred fifty thousand dollars in a calendar year.</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Except as provided in subsection (8) of this section, the</w:t>
      </w:r>
      <w:r>
        <w:rPr/>
        <w:t xml:space="preserv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w:t>
      </w:r>
      <w:r>
        <w:rPr/>
        <w:t xml:space="preserv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w:t>
      </w:r>
      <w:r>
        <w:t>((</w:t>
      </w:r>
      <w:r>
        <w:rPr>
          <w:strike/>
        </w:rPr>
        <w:t xml:space="preserve">fifty</w:t>
      </w:r>
      <w:r>
        <w:t>))</w:t>
      </w:r>
      <w:r>
        <w:rPr/>
        <w:t xml:space="preserve"> </w:t>
      </w:r>
      <w:r>
        <w:rPr>
          <w:u w:val="single"/>
        </w:rPr>
        <w:t xml:space="preserve">75</w:t>
      </w:r>
      <w:r>
        <w:rPr/>
        <w:t xml:space="preserve"> percent of the amount of the contribution that is made by the person to the main street trust fund, in the prior calendar year.</w:t>
      </w:r>
    </w:p>
    <w:p>
      <w:pPr>
        <w:spacing w:before="0" w:after="0" w:line="408" w:lineRule="exact"/>
        <w:ind w:left="0" w:right="0" w:firstLine="576"/>
        <w:jc w:val="left"/>
      </w:pPr>
      <w:r>
        <w:rPr>
          <w:u w:val="single"/>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u w:val="single"/>
        </w:rPr>
        <w:t xml:space="preserve">(9) No credit is allowed or may be claimed under this section on or after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This chapter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1406</w:t>
      </w:r>
      <w:r>
        <w:rPr/>
        <w:t xml:space="preserve"> (uncodified) is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21, 2021.</w:t>
      </w:r>
    </w:p>
    <w:p>
      <w:pPr>
        <w:spacing w:before="0" w:after="0" w:line="408" w:lineRule="exact"/>
        <w:ind w:left="0" w:right="0" w:firstLine="576"/>
        <w:jc w:val="left"/>
      </w:pPr>
      <w:r>
        <w:rPr/>
        <w:t xml:space="preserve">Filed in Office of Secretary of State April 21, 2021.</w:t>
      </w:r>
    </w:p>
    <w:sectPr>
      <w:pgNumType w:start="1"/>
      <w:footerReference xmlns:r="http://schemas.openxmlformats.org/officeDocument/2006/relationships" r:id="R63c5578a82ad44e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0317de92c472b" /><Relationship Type="http://schemas.openxmlformats.org/officeDocument/2006/relationships/footer" Target="/word/footer1.xml" Id="R63c5578a82ad44ee" /></Relationships>
</file>