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0bbe26ff19b478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1273</w:t>
      </w:r>
    </w:p>
    <w:p>
      <w:pPr>
        <w:jc w:val="center"/>
        <w:spacing w:before="480" w:after="0" w:line="240"/>
      </w:pPr>
      <w:r>
        <w:t xml:space="preserve">Chapter </w:t>
      </w:r>
      <w:r>
        <w:rPr/>
        <w:t xml:space="preserve">163</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SCHOOLS—MENSTRUAL PRODUCTS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April 14, 2021</w:t>
            </w:r>
          </w:p>
          <w:p>
            <w:pPr>
              <w:ind w:left="0" w:right="0" w:firstLine="360"/>
            </w:pPr>
            <w:r>
              <w:t xml:space="preserve">Yeas </w:t>
              <w:t xml:space="preserve">85</w:t>
            </w:r>
            <w:r>
              <w:t xml:space="preserve">  Nays </w:t>
              <w:t xml:space="preserve">12</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2021</w:t>
            </w:r>
          </w:p>
          <w:p>
            <w:pPr>
              <w:ind w:left="0" w:right="0" w:firstLine="360"/>
            </w:pPr>
            <w:r>
              <w:t xml:space="preserve">Yeas </w:t>
              <w:t xml:space="preserve">43</w:t>
            </w:r>
            <w:r>
              <w:t xml:space="preserve">  Nays </w:t>
              <w:t xml:space="preserve">5</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1273</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3, 2021 2:17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3,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1273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House Appropriations (originally sponsored by Representatives Berg, Caldier, Ramel, Simmons, Taylor, Lovick, Bateman, Senn, Leavitt, Fitzgibbon, Wicks, Berry, Peterson, Goodman, Valdez, Hackney, Thai, Kloba, Frame, Ryu, Bronoske, Macri, Callan, Ormsby, Pollet, Slatter, Harris-Talley, and Stonier)</w:t>
      </w:r>
    </w:p>
    <w:p/>
    <w:p>
      <w:r>
        <w:rPr>
          <w:t xml:space="preserve">READ FIRST TIME 02/08/21.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menstrual hygiene products in school and postsecondary institution bathrooms; adding a new section to chapter 28A.210 RCW;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By the beginning of the 2022-23 school year, school districts and private schools must make menstrual hygiene products available at no cost in all gender-neutral bathrooms and bathrooms designated for female students located in schools that serve students in any of grades six through twelve. If a school building serving grades six through twelve does not have a gender-neutral bathroom, then the products must also be available in at least one bathroom accessible to male students or in a school health room accessible to all students. For schools that serve students in grades three through five, school districts and private schools must make menstrual hygiene products available in a school health room or other location as designated by the school principal.</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School districts and private schools must bear the cost of supplying menstrual hygiene products. School districts and private schools may seek grants or partner with nonprofit or community-based organizations to fulfill this obligation.</w:t>
      </w:r>
    </w:p>
    <w:p>
      <w:pPr>
        <w:spacing w:before="0" w:after="0" w:line="408" w:lineRule="exact"/>
        <w:ind w:left="0" w:right="0" w:firstLine="576"/>
        <w:jc w:val="left"/>
      </w:pPr>
      <w:r>
        <w:rPr/>
        <w:t xml:space="preserve">(4) This section governs school operation and management under RCW 28A.710.040 and 28A.715.020 and applies to charter schools established under chapter 28A.710 RCW and state-tribal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the beginning of the 2022-23 academic year, institutions of higher education as defined in RCW 28B.92.030 must make menstrual hygiene products available at no cost in all gender-neutral bathrooms and bathrooms designated for female students.</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Institutions of higher education must bear the cost of supplying menstrual hygiene products. Institutions of higher education may seek grants or partner with nonprofit or community-based organizations to fulfill this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constitutes a new chapter in </w:t>
      </w:r>
      <w:r>
        <w:rPr/>
        <w:t xml:space="preserve">Title </w:t>
      </w:r>
      <w:r>
        <w:t xml:space="preserve">28B</w:t>
      </w:r>
      <w:r>
        <w:rPr/>
        <w:t xml:space="preserve"> RCW</w:t>
      </w:r>
      <w:r>
        <w:rPr/>
        <w:t xml:space="preserve">.</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April 14, 2021.</w:t>
      </w:r>
    </w:p>
    <w:p>
      <w:pPr>
        <w:spacing w:before="0" w:after="0" w:line="408" w:lineRule="exact"/>
        <w:ind w:left="0" w:right="0" w:firstLine="576"/>
        <w:jc w:val="left"/>
      </w:pPr>
      <w:r>
        <w:rPr/>
        <w:t xml:space="preserve">Passed by the Senate April 10, 2021.</w:t>
      </w:r>
    </w:p>
    <w:p>
      <w:pPr>
        <w:spacing w:before="0" w:after="0" w:line="408" w:lineRule="exact"/>
        <w:ind w:left="0" w:right="0" w:firstLine="576"/>
        <w:jc w:val="left"/>
      </w:pPr>
      <w:r>
        <w:rPr/>
        <w:t xml:space="preserve">Approved by the Governor May 3, 2021.</w:t>
      </w:r>
    </w:p>
    <w:p>
      <w:pPr>
        <w:spacing w:before="0" w:after="0" w:line="408" w:lineRule="exact"/>
        <w:ind w:left="0" w:right="0" w:firstLine="576"/>
        <w:jc w:val="left"/>
      </w:pPr>
      <w:r>
        <w:rPr/>
        <w:t xml:space="preserve">Filed in Office of Secretary of State May 3, 2021.</w:t>
      </w:r>
    </w:p>
    <w:sectPr>
      <w:pgNumType w:start="1"/>
      <w:footerReference xmlns:r="http://schemas.openxmlformats.org/officeDocument/2006/relationships" r:id="Reca423b743fe425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1273.SL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2cc19c22ca46ce" /><Relationship Type="http://schemas.openxmlformats.org/officeDocument/2006/relationships/footer" Target="/word/footer1.xml" Id="Reca423b743fe425c" /></Relationships>
</file>