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a9f8b810a45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1193</w:t>
      </w:r>
    </w:p>
    <w:p>
      <w:pPr>
        <w:jc w:val="center"/>
        <w:spacing w:before="480" w:after="0" w:line="240"/>
      </w:pPr>
      <w:r>
        <w:t xml:space="preserve">Chapter </w:t>
      </w:r>
      <w:r>
        <w:rPr/>
        <w:t xml:space="preserve">299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COLUMBIA RIVER FEDERAL NAVIGATION CHANNELS—SHORELINE MANAGEMENT ACT EXEMPTION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1193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 Hoff)</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affirming the process for disposing of dredged materials for federal navigation channel maintenance and improvement; and amending RCW 90.58.355.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2020 c 20 s 1506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70A.305 RCW, or to the department of ecology when it conducts a remedial action under chapter 70A.305 RCW. The department must ensure compliance with the substantive requirements of this chapter through the consent decree, order, or agreed order issued pursuant to chapter 70A.305 RCW, or during the department-conducted remedial action, through the procedures developed by the department pursuant to RCW 70A.305.090;</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 </w:t>
      </w:r>
      <w:r>
        <w:t>((</w:t>
      </w:r>
      <w:r>
        <w:rPr>
          <w:strike/>
        </w:rPr>
        <w:t xml:space="preserve">or</w:t>
      </w:r>
      <w:r>
        <w:t>))</w:t>
      </w:r>
    </w:p>
    <w:p>
      <w:pPr>
        <w:spacing w:before="0" w:after="0" w:line="408" w:lineRule="exact"/>
        <w:ind w:left="0" w:right="0" w:firstLine="576"/>
        <w:jc w:val="left"/>
      </w:pPr>
      <w:r>
        <w:rPr/>
        <w:t xml:space="preserve">(3) The department of transportation projects and activities that meet the conditions of RCW 90.58.356</w:t>
      </w:r>
      <w:r>
        <w:rPr>
          <w:u w:val="single"/>
        </w:rPr>
        <w:t xml:space="preserve">; or</w:t>
      </w:r>
    </w:p>
    <w:p>
      <w:pPr>
        <w:spacing w:before="0" w:after="0" w:line="408" w:lineRule="exact"/>
        <w:ind w:left="0" w:right="0" w:firstLine="576"/>
        <w:jc w:val="left"/>
      </w:pPr>
      <w:r>
        <w:rPr>
          <w:u w:val="single"/>
        </w:rPr>
        <w:t xml:space="preserve">(4) Actions taken on the Columbia river by the United States army corps of engineers, under the authority of United States Code Titles 33 and 42 and 33 C.F.R. Sec. 335, to maintain and improve federal navigation channels in accordance with federally mandated dredged material management and improvement project plans, provided the project: (a) Has undergone environmental review under both the national environmental policy act, 42 U.S.C. Sec. 4321-4370h and the state environmental policy act, chapter 43.21C RCW; and (b) has applied for federal clean water act section 401 water quality certifications issued by the department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8feb65fb52c54bf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3b30cc6ec0424c" /><Relationship Type="http://schemas.openxmlformats.org/officeDocument/2006/relationships/footer" Target="/word/footer1.xml" Id="R8feb65fb52c54bf7" /></Relationships>
</file>