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81ec1c99b0462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5895</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10,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2022</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5895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5895</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Senators Frockt and Mullet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timing restrictions for remedial action grants to local government; amending RCW 70A.305.190;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Remedial action grants are an effective means to assist a local government achieve toxic waste cleanup; and</w:t>
      </w:r>
    </w:p>
    <w:p>
      <w:pPr>
        <w:spacing w:before="0" w:after="0" w:line="408" w:lineRule="exact"/>
        <w:ind w:left="0" w:right="0" w:firstLine="576"/>
        <w:jc w:val="left"/>
      </w:pPr>
      <w:r>
        <w:rPr/>
        <w:t xml:space="preserve">(2) Requiring a local government to have all the necessary permits in hand prior to receiving remedial action grant funding has caused unintended delays in implementing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305</w:t>
      </w:r>
      <w:r>
        <w:rPr/>
        <w:t xml:space="preserve">.</w:t>
      </w:r>
      <w:r>
        <w:t xml:space="preserve">190</w:t>
      </w:r>
      <w:r>
        <w:rPr/>
        <w:t xml:space="preserve"> and 2020 c 20 s 1320 are each amended to read as follows:</w:t>
      </w:r>
    </w:p>
    <w:p>
      <w:pPr>
        <w:spacing w:before="0" w:after="0" w:line="408" w:lineRule="exact"/>
        <w:ind w:left="0" w:right="0" w:firstLine="576"/>
        <w:jc w:val="left"/>
      </w:pPr>
      <w:r>
        <w:rPr/>
        <w:t xml:space="preserve">(1) The model toxics control capital account is hereby created in the state treasury.</w:t>
      </w:r>
    </w:p>
    <w:p>
      <w:pPr>
        <w:spacing w:before="0" w:after="0" w:line="408" w:lineRule="exact"/>
        <w:ind w:left="0" w:right="0" w:firstLine="576"/>
        <w:jc w:val="left"/>
      </w:pPr>
      <w:r>
        <w:rPr/>
        <w:t xml:space="preserve">(2) In addition to the funds deposited into the model toxics control capital account required under RCW 82.21.030, the following moneys must be deposited into the model toxics control capital account:</w:t>
      </w:r>
    </w:p>
    <w:p>
      <w:pPr>
        <w:spacing w:before="0" w:after="0" w:line="408" w:lineRule="exact"/>
        <w:ind w:left="0" w:right="0" w:firstLine="576"/>
        <w:jc w:val="left"/>
      </w:pPr>
      <w:r>
        <w:rPr/>
        <w:t xml:space="preserve">(a) The costs of remedial actions recovered under this chapter, except as provided under RCW 70A.305.170(7);</w:t>
      </w:r>
    </w:p>
    <w:p>
      <w:pPr>
        <w:spacing w:before="0" w:after="0" w:line="408" w:lineRule="exact"/>
        <w:ind w:left="0" w:right="0" w:firstLine="576"/>
        <w:jc w:val="left"/>
      </w:pPr>
      <w:r>
        <w:rPr/>
        <w:t xml:space="preserve">(b) Penalties collected or recovered under this chapter; and</w:t>
      </w:r>
    </w:p>
    <w:p>
      <w:pPr>
        <w:spacing w:before="0" w:after="0" w:line="408" w:lineRule="exact"/>
        <w:ind w:left="0" w:right="0" w:firstLine="576"/>
        <w:jc w:val="left"/>
      </w:pPr>
      <w:r>
        <w:rPr/>
        <w:t xml:space="preserve">(c) Any other money appropriated or transferred to the account by the legislature.</w:t>
      </w:r>
    </w:p>
    <w:p>
      <w:pPr>
        <w:spacing w:before="0" w:after="0" w:line="408" w:lineRule="exact"/>
        <w:ind w:left="0" w:right="0" w:firstLine="576"/>
        <w:jc w:val="left"/>
      </w:pPr>
      <w:r>
        <w:rPr/>
        <w:t xml:space="preserve">(3) Moneys in the model toxics control capital account must be used for the improvement, rehabilitation, remediation, and cleanup of toxic sites and other capital-related expenditures for programs and activities identified in subsection (4) of this section.</w:t>
      </w:r>
    </w:p>
    <w:p>
      <w:pPr>
        <w:spacing w:before="0" w:after="0" w:line="408" w:lineRule="exact"/>
        <w:ind w:left="0" w:right="0" w:firstLine="576"/>
        <w:jc w:val="left"/>
      </w:pPr>
      <w:r>
        <w:rPr/>
        <w:t xml:space="preserve">(4) Moneys in the model toxics control capital account may be used only for capital projects and activities that carry out the purposes of this chapter and for financial assistance to local governments or other persons to carry out those projects or activities, including but not limited to the following, generally in descending order of priority:</w:t>
      </w:r>
    </w:p>
    <w:p>
      <w:pPr>
        <w:spacing w:before="0" w:after="0" w:line="408" w:lineRule="exact"/>
        <w:ind w:left="0" w:right="0" w:firstLine="576"/>
        <w:jc w:val="left"/>
      </w:pPr>
      <w:r>
        <w:rPr/>
        <w:t xml:space="preserve">(a) Remedial actions, including the following generally in descending order of priority:</w:t>
      </w:r>
    </w:p>
    <w:p>
      <w:pPr>
        <w:spacing w:before="0" w:after="0" w:line="408" w:lineRule="exact"/>
        <w:ind w:left="0" w:right="0" w:firstLine="576"/>
        <w:jc w:val="left"/>
      </w:pPr>
      <w:r>
        <w:rPr/>
        <w:t xml:space="preserve">(i) Extended grant agreements entered into under subsection (5)(a) of this section;</w:t>
      </w:r>
    </w:p>
    <w:p>
      <w:pPr>
        <w:spacing w:before="0" w:after="0" w:line="408" w:lineRule="exact"/>
        <w:ind w:left="0" w:right="0" w:firstLine="576"/>
        <w:jc w:val="left"/>
      </w:pPr>
      <w:r>
        <w:rPr/>
        <w:t xml:space="preserve">(ii) Grants or loans to local governments for remedial actions, including planning for adaptive reuse of properties as provided for under subsection (5)(d) of this 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Department-conducted remedial actions;</w:t>
      </w:r>
    </w:p>
    <w:p>
      <w:pPr>
        <w:spacing w:before="0" w:after="0" w:line="408" w:lineRule="exact"/>
        <w:ind w:left="0" w:right="0" w:firstLine="576"/>
        <w:jc w:val="left"/>
      </w:pPr>
      <w:r>
        <w:rPr/>
        <w:t xml:space="preserve">(iv) Grants to persons intending to remediate contaminated real property for development of affordable housing;</w:t>
      </w:r>
    </w:p>
    <w:p>
      <w:pPr>
        <w:spacing w:before="0" w:after="0" w:line="408" w:lineRule="exact"/>
        <w:ind w:left="0" w:right="0" w:firstLine="576"/>
        <w:jc w:val="left"/>
      </w:pPr>
      <w:r>
        <w:rPr/>
        <w:t xml:space="preserve">(v) Public funding to assist potentially liable persons to pay for the costs of remedial action in compliance with clean-up standards under RCW 70A.305.030(2)(e) if:</w:t>
      </w:r>
    </w:p>
    <w:p>
      <w:pPr>
        <w:spacing w:before="0" w:after="0" w:line="408" w:lineRule="exact"/>
        <w:ind w:left="0" w:right="0" w:firstLine="576"/>
        <w:jc w:val="left"/>
      </w:pPr>
      <w:r>
        <w:rPr/>
        <w:t xml:space="preserve">(A) The amount and terms of the funding are established under a settlement agreement under RCW 70A.305.040(4); and</w:t>
      </w:r>
    </w:p>
    <w:p>
      <w:pPr>
        <w:spacing w:before="0" w:after="0" w:line="408" w:lineRule="exact"/>
        <w:ind w:left="0" w:right="0" w:firstLine="576"/>
        <w:jc w:val="left"/>
      </w:pPr>
      <w:r>
        <w:rPr/>
        <w:t xml:space="preserve">(B) The director has found that the funding will achieve both a substantially more expeditious or enhanced cleanup than would otherwise occur, and the prevention or mitigation of unfair economic hardship;</w:t>
      </w:r>
    </w:p>
    <w:p>
      <w:pPr>
        <w:spacing w:before="0" w:after="0" w:line="408" w:lineRule="exact"/>
        <w:ind w:left="0" w:right="0" w:firstLine="576"/>
        <w:jc w:val="left"/>
      </w:pPr>
      <w:r>
        <w:rPr/>
        <w:t xml:space="preserve">(vi) Public funding to assist prospective purchasers to pay for the costs of remedial action in compliance with clean-up standards under RCW 70A.305.030(2)(e) if:</w:t>
      </w:r>
    </w:p>
    <w:p>
      <w:pPr>
        <w:spacing w:before="0" w:after="0" w:line="408" w:lineRule="exact"/>
        <w:ind w:left="0" w:right="0" w:firstLine="576"/>
        <w:jc w:val="left"/>
      </w:pPr>
      <w:r>
        <w:rPr/>
        <w:t xml:space="preserve">(A) The facility is located within a redevelopment opportunity zone designated under RCW 70A.305.150;</w:t>
      </w:r>
    </w:p>
    <w:p>
      <w:pPr>
        <w:spacing w:before="0" w:after="0" w:line="408" w:lineRule="exact"/>
        <w:ind w:left="0" w:right="0" w:firstLine="576"/>
        <w:jc w:val="left"/>
      </w:pPr>
      <w:r>
        <w:rPr/>
        <w:t xml:space="preserve">(B) The amount and terms of the funding are established under a settlement agreement under RCW 70A.305.040(5); and</w:t>
      </w:r>
    </w:p>
    <w:p>
      <w:pPr>
        <w:spacing w:before="0" w:after="0" w:line="408" w:lineRule="exact"/>
        <w:ind w:left="0" w:right="0" w:firstLine="576"/>
        <w:jc w:val="left"/>
      </w:pPr>
      <w:r>
        <w:rPr/>
        <w:t xml:space="preserve">(C) The director has found the funding will achieve a substantially more expeditious or enhanced cleanup than would otherwise occur, provide a public benefit in addition to cleanup commensurate with the scope of the public funding; and meet any additional criteria established in rule by the department; and</w:t>
      </w:r>
    </w:p>
    <w:p>
      <w:pPr>
        <w:spacing w:before="0" w:after="0" w:line="408" w:lineRule="exact"/>
        <w:ind w:left="0" w:right="0" w:firstLine="576"/>
        <w:jc w:val="left"/>
      </w:pPr>
      <w:r>
        <w:rPr/>
        <w:t xml:space="preserve">(vii) To expedite multiparty clean-up efforts, purchase of remedial action cost-cap insurance;</w:t>
      </w:r>
    </w:p>
    <w:p>
      <w:pPr>
        <w:spacing w:before="0" w:after="0" w:line="408" w:lineRule="exact"/>
        <w:ind w:left="0" w:right="0" w:firstLine="576"/>
        <w:jc w:val="left"/>
      </w:pPr>
      <w:r>
        <w:rPr/>
        <w:t xml:space="preserve">(b) Grants, or loans, or contracts to local governments for solid waste plans and programs under chapters 70A.205, 70A.214, 70A.224, 70A.222, 70A.230, and 70A.300 RCW. Funds must be allocated consistent with priorities and matching requirements in the respective chapters;</w:t>
      </w:r>
    </w:p>
    <w:p>
      <w:pPr>
        <w:spacing w:before="0" w:after="0" w:line="408" w:lineRule="exact"/>
        <w:ind w:left="0" w:right="0" w:firstLine="576"/>
        <w:jc w:val="left"/>
      </w:pPr>
      <w:r>
        <w:rPr/>
        <w:t xml:space="preserve">(c) Toxic air pollutant reduction programs, including grants or loans to local governments for woodstoves and diesel;</w:t>
      </w:r>
    </w:p>
    <w:p>
      <w:pPr>
        <w:spacing w:before="0" w:after="0" w:line="408" w:lineRule="exact"/>
        <w:ind w:left="0" w:right="0" w:firstLine="576"/>
        <w:jc w:val="left"/>
      </w:pPr>
      <w:r>
        <w:rPr/>
        <w:t xml:space="preserve">(d) Grants, loans, or contracts to local governments for hazardous waste plans and programs under chapters 70A.405 and 70A.300 RCW, including chemical action plan implementation. Funds must be allocated consistent with priorities and matching requirements in the respective chapters; and</w:t>
      </w:r>
    </w:p>
    <w:p>
      <w:pPr>
        <w:spacing w:before="0" w:after="0" w:line="408" w:lineRule="exact"/>
        <w:ind w:left="0" w:right="0" w:firstLine="576"/>
        <w:jc w:val="left"/>
      </w:pPr>
      <w:r>
        <w:rPr/>
        <w:t xml:space="preserve">(e) Petroleum-based plastic or expanded polystyrene foam debris clean-up activities in fresh or marine waters.</w:t>
      </w:r>
    </w:p>
    <w:p>
      <w:pPr>
        <w:spacing w:before="0" w:after="0" w:line="408" w:lineRule="exact"/>
        <w:ind w:left="0" w:right="0" w:firstLine="576"/>
        <w:jc w:val="left"/>
      </w:pPr>
      <w:r>
        <w:rPr/>
        <w:t xml:space="preserve">(5) The department may establish and administer a program to provide grants and loans to local governments for remedial actions, including planning for adaptive reuse of contaminated properties. </w:t>
      </w:r>
      <w:r>
        <w:t>((</w:t>
      </w:r>
      <w:r>
        <w:rPr>
          <w:strike/>
        </w:rPr>
        <w:t xml:space="preserve">The department may not award a grant or loan for a remedial action unless the local government has obtained all of the required permits for the action within one year of the effective date of the enacted budget.</w:t>
      </w:r>
      <w:r>
        <w:t>))</w:t>
      </w:r>
      <w:r>
        <w:rPr/>
        <w:t xml:space="preserv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(a) Enter into an extended grant agreement with a local government conducting remedial actions at a facility where those actions extend over multiple biennia and the total eligible cost of those actions exceeds </w:t>
      </w:r>
      <w:r>
        <w:t>((</w:t>
      </w:r>
      <w:r>
        <w:rPr>
          <w:strike/>
        </w:rPr>
        <w:t xml:space="preserve">twenty million dollars</w:t>
      </w:r>
      <w:r>
        <w:t>))</w:t>
      </w:r>
      <w:r>
        <w:rPr/>
        <w:t xml:space="preserve"> </w:t>
      </w:r>
      <w:r>
        <w:rPr>
          <w:u w:val="single"/>
        </w:rPr>
        <w:t xml:space="preserve">$20,000,000</w:t>
      </w:r>
      <w:r>
        <w:rPr/>
        <w:t xml:space="preserve">. The agreement is subject to the following limitations:</w:t>
      </w:r>
    </w:p>
    <w:p>
      <w:pPr>
        <w:spacing w:before="0" w:after="0" w:line="408" w:lineRule="exact"/>
        <w:ind w:left="0" w:right="0" w:firstLine="576"/>
        <w:jc w:val="left"/>
      </w:pPr>
      <w:r>
        <w:rPr/>
        <w:t xml:space="preserve">(i) The initial duration of such an agreement may not exceed </w:t>
      </w:r>
      <w:r>
        <w:t>((</w:t>
      </w:r>
      <w:r>
        <w:rPr>
          <w:strike/>
        </w:rPr>
        <w:t xml:space="preserve">ten</w:t>
      </w:r>
      <w:r>
        <w:t>))</w:t>
      </w:r>
      <w:r>
        <w:rPr/>
        <w:t xml:space="preserve"> </w:t>
      </w:r>
      <w:r>
        <w:rPr>
          <w:u w:val="single"/>
        </w:rPr>
        <w:t xml:space="preserve">10</w:t>
      </w:r>
      <w:r>
        <w:rPr/>
        <w:t xml:space="preserve">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(ii) Extended grant agreements may not exceed </w:t>
      </w:r>
      <w:r>
        <w:t>((</w:t>
      </w:r>
      <w:r>
        <w:rPr>
          <w:strike/>
        </w:rPr>
        <w:t xml:space="preserve">fifty</w:t>
      </w:r>
      <w:r>
        <w:t>))</w:t>
      </w:r>
      <w:r>
        <w:rPr/>
        <w:t xml:space="preserve"> </w:t>
      </w:r>
      <w:r>
        <w:rPr>
          <w:u w:val="single"/>
        </w:rPr>
        <w:t xml:space="preserve">50</w:t>
      </w:r>
      <w:r>
        <w:rPr/>
        <w:t xml:space="preserve"> percent of the total eligible remedial action costs at the facility; and</w:t>
      </w:r>
    </w:p>
    <w:p>
      <w:pPr>
        <w:spacing w:before="0" w:after="0" w:line="408" w:lineRule="exact"/>
        <w:ind w:left="0" w:right="0" w:firstLine="576"/>
        <w:jc w:val="left"/>
      </w:pPr>
      <w:r>
        <w:rPr/>
        <w:t xml:space="preserve">(iii)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(b)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(c)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(d)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(e)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(f)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(i)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(ii)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(iii) Funding would create an opportunity for acquisition and redevelopment of brownfield property under RCW 70A.305.040(5) that would not otherwise occur; and</w:t>
      </w:r>
    </w:p>
    <w:p>
      <w:pPr>
        <w:spacing w:before="0" w:after="0" w:line="408" w:lineRule="exact"/>
        <w:ind w:left="0" w:right="0" w:firstLine="576"/>
        <w:jc w:val="left"/>
      </w:pPr>
      <w:r>
        <w:rPr/>
        <w:t xml:space="preserve">(g) When pending grant applications under subsection (4)(d) and (e) of this section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(6) Except for unanticipated receipts under RCW 43.79.260 through 43.79.282, moneys in model toxics control capital account may be spent only after appropriation by statute.</w:t>
      </w:r>
    </w:p>
    <w:p/>
    <w:p>
      <w:pPr>
        <w:jc w:val="center"/>
      </w:pPr>
      <w:r>
        <w:rPr>
          <w:b/>
        </w:rPr>
        <w:t>--- END ---</w:t>
      </w:r>
    </w:p>
    <w:sectPr>
      <w:pgNumType w:start="1"/>
      <w:footerReference xmlns:r="http://schemas.openxmlformats.org/officeDocument/2006/relationships" r:id="R8e0a501fa6944f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4dbbbdaa0e4dfd" /><Relationship Type="http://schemas.openxmlformats.org/officeDocument/2006/relationships/footer" Target="/word/footer1.xml" Id="R8e0a501fa6944f7f" /></Relationships>
</file>