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4daf8d87342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5814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5814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5814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Cleveland, Dhingra, Keiser, Lovelett, Lovick,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new sections to chapter 7.68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crime victims' compensation fund was established in 1973 to cover medical bills and other costs associated with being the victim of a crime. The legislature finds that state law requires the crime victims' compensation fund to pay the costs of sexual assault examinations of minors when they are performed to gather evidence for possible prosecution. The legislature finds that in 2015, the legislature passed Substitute Senate Bill No. 5897 to provide funding for medical evaluations of suspected child victims of physical abuse. The legislature finds that this law expired June 30, 2019, and was not extended in the omnibus operating appropriations act. The legislature recognizes that while sexual assault examinations are currently provided for by the crime victims' compensation fund, examinations for child victims of physical assault are not provided for. The legislature finds that medical examinations are important for children who may be victims of physical abuse. The legislature finds that contributing to the cost of these examinations will incentivize timely evaluations, lead to early identification of abuse, and potentially prevent a child from further traumatization or injury. The legislature therefore resolves to reenact the provision of medical examinations of children who may be victims of physical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No costs incurred by an institution as defined in RCW 26.44.020 for the examination of a suspected victim of assault of a child under chapter 9A.36 RCW may be billed or charged directly or indirectly to the suspected victim of the assault. Subject to the availability of amounts appropriated for this specific purpose, the department must pay all costs incurred by an institution as defined in RCW 26.44.020 for the examination of a suspected victim of assault of a child, provided that the cost of the examination would not otherwise be covered by the department.</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By November 1, 2023, and annually thereafter, and in compliance with RCW 43.01.036, the department must submit a report to the legislature and governor with the following information: The number of requests to pay for physical abuse exams for child victims of physical assault pursuant to section 2 of this act, how many of these requests are approved and denied including the reasons for denial, how many of the exams are covered for another reason, and any other information the department believes is beneficial.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45ded8e26a0b49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3de06c54c44fbf" /><Relationship Type="http://schemas.openxmlformats.org/officeDocument/2006/relationships/footer" Target="/word/footer1.xml" Id="R45ded8e26a0b4953" /></Relationships>
</file>