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748968f7f848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5799</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66</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5799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Business, Financial Services &amp; Trade (originally sponsored by Senators Robinson and Lovick)</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application of the workforce education investment advanced computing surcharge to provider clinics and affiliated organizations; amending RCW 82.04.299;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2020 c 2 s 4 are each amended to read as follows:</w:t>
      </w:r>
    </w:p>
    <w:p>
      <w:pPr>
        <w:spacing w:before="0" w:after="0" w:line="408" w:lineRule="exact"/>
        <w:ind w:left="0" w:right="0" w:firstLine="576"/>
        <w:jc w:val="left"/>
      </w:pPr>
      <w:r>
        <w:rPr/>
        <w:t xml:space="preserve">(1)(a) Beginning with business activities occurring on or after April 1, 2020, in addition to the taxes imposed under RCW 82.04.290(2), a workforce education investment surcharge is imposed on select advanced computing businesses. The surcharge is equal to the gross income of the business subject to the tax under RCW 82.04.290(2), multiplied by the rate of 1.22 percent.</w:t>
      </w:r>
    </w:p>
    <w:p>
      <w:pPr>
        <w:spacing w:before="0" w:after="0" w:line="408" w:lineRule="exact"/>
        <w:ind w:left="0" w:right="0" w:firstLine="576"/>
        <w:jc w:val="left"/>
      </w:pPr>
      <w:r>
        <w:rPr/>
        <w:t xml:space="preserve">(b) Except as provided in (e) of this subsection (1), in no case will the combined surcharge imposed under this subsection (1) paid by all members of an affiliated group be more than nine million dollars annually.</w:t>
      </w:r>
    </w:p>
    <w:p>
      <w:pPr>
        <w:spacing w:before="0" w:after="0" w:line="408" w:lineRule="exact"/>
        <w:ind w:left="0" w:right="0" w:firstLine="576"/>
        <w:jc w:val="left"/>
      </w:pPr>
      <w:r>
        <w:rPr/>
        <w:t xml:space="preserve">(c) For persons subject to the surcharge imposed under this subsection (1)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(1) must be reported and paid on a quarterly basis in a manner as required by the department. 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rPr/>
        <w:t xml:space="preserve">(e)(i) To aid in the effective administration of the surcharge in this subsection (1),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w:t>
      </w:r>
    </w:p>
    <w:p>
      <w:pPr>
        <w:spacing w:before="0" w:after="0" w:line="408" w:lineRule="exact"/>
        <w:ind w:left="0" w:right="0" w:firstLine="576"/>
        <w:jc w:val="left"/>
      </w:pPr>
      <w:r>
        <w:rPr/>
        <w:t xml:space="preserve">(ii) If the department establishes, by clear, cogent, and convincing evidence, that one or more members of an affiliated group, with intent to evade the surcharge under this subsection (1), failed to fully comply with this subsection (1)(e), the department must assess against that person, or those persons collectively, a penalty equal to fifty percent of the amount of the total surcharge payable by all members of that affiliated group for the calendar year during which the person or persons failed to fully comply with this subsection (1)(e). The penalty under this subsection (1)(e) is in lieu of and not in addition to the evasion penalty under RCW 82.32.090(7).</w:t>
      </w:r>
    </w:p>
    <w:p>
      <w:pPr>
        <w:spacing w:before="0" w:after="0" w:line="408" w:lineRule="exact"/>
        <w:ind w:left="0" w:right="0" w:firstLine="576"/>
        <w:jc w:val="left"/>
      </w:pPr>
      <w:r>
        <w:rPr/>
        <w:t xml:space="preserve">(f) For the purposes of this subsection (1)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an online marketplace,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 A person that is primarily engaged in business as a "financial institution" as defined in RCW 82.04.29004, as that section existed on January 1, 2020, shall not be considered a select advanced computing business. For purposes of this subsection (1)(f)(vi), "primarily" is determined based on gross income of the business.</w:t>
      </w:r>
    </w:p>
    <w:p>
      <w:pPr>
        <w:spacing w:before="0" w:after="0" w:line="408" w:lineRule="exact"/>
        <w:ind w:left="0" w:right="0" w:firstLine="576"/>
        <w:jc w:val="left"/>
      </w:pPr>
      <w:r>
        <w:rPr/>
        <w:t xml:space="preserve">(2)</w:t>
      </w:r>
      <w:r>
        <w:rPr>
          <w:u w:val="single"/>
        </w:rPr>
        <w:t xml:space="preserve">(a)</w:t>
      </w:r>
      <w:r>
        <w:rPr/>
        <w:t xml:space="preserve"> The workforce education investment surcharge under this section does not apply to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(i) Any</w:t>
      </w:r>
      <w:r>
        <w:rPr/>
        <w:t xml:space="preserve"> hospital as defined in RCW 70.41.020, including any hospital that comes within the scope of chapter 71.12 RCW if the hospital is also licensed under chapter 70.41 RCW</w:t>
      </w:r>
      <w:r>
        <w:rPr>
          <w:u w:val="single"/>
        </w:rPr>
        <w:t xml:space="preserve">; or</w:t>
      </w:r>
    </w:p>
    <w:p>
      <w:pPr>
        <w:spacing w:before="0" w:after="0" w:line="408" w:lineRule="exact"/>
        <w:ind w:left="0" w:right="0" w:firstLine="576"/>
        <w:jc w:val="left"/>
      </w:pPr>
      <w:r>
        <w:rPr>
          <w:u w:val="single"/>
        </w:rPr>
        <w:t xml:space="preserve">(ii) A provider clinic offering primary care, multispecialty and surgical services, including behavioral health services, and any affiliate of the provider clinic if the affiliate is an organization that offers health care services or provides administrative support for a provider clinic, or is an independent practice association or accountable care organization.</w:t>
      </w:r>
    </w:p>
    <w:p>
      <w:pPr>
        <w:spacing w:before="0" w:after="0" w:line="408" w:lineRule="exact"/>
        <w:ind w:left="0" w:right="0" w:firstLine="576"/>
        <w:jc w:val="left"/>
      </w:pPr>
      <w:r>
        <w:rPr>
          <w:u w:val="single"/>
        </w:rPr>
        <w:t xml:space="preserve">(b) The exemptions under this subsection (2) do not apply to amounts received by any member of an affiliated group other than the businesses described in (a) of this subsection.</w:t>
      </w:r>
    </w:p>
    <w:p>
      <w:pPr>
        <w:spacing w:before="0" w:after="0" w:line="408" w:lineRule="exact"/>
        <w:ind w:left="0" w:right="0" w:firstLine="576"/>
        <w:jc w:val="left"/>
      </w:pPr>
      <w:r>
        <w:rPr>
          <w:u w:val="single"/>
        </w:rPr>
        <w:t xml:space="preserve">(c) For purposes of the exemption in (a)(ii) of this subsection:</w:t>
      </w:r>
    </w:p>
    <w:p>
      <w:pPr>
        <w:spacing w:before="0" w:after="0" w:line="408" w:lineRule="exact"/>
        <w:ind w:left="0" w:right="0" w:firstLine="576"/>
        <w:jc w:val="left"/>
      </w:pPr>
      <w:r>
        <w:rPr>
          <w:u w:val="single"/>
        </w:rPr>
        <w:t xml:space="preserve">(i) "Health care services" means services offered by health care providers relating to the prevention, cure, or treatment of illness, injury, or disease.</w:t>
      </w:r>
    </w:p>
    <w:p>
      <w:pPr>
        <w:spacing w:before="0" w:after="0" w:line="408" w:lineRule="exact"/>
        <w:ind w:left="0" w:right="0" w:firstLine="576"/>
        <w:jc w:val="left"/>
      </w:pPr>
      <w:r>
        <w:rPr>
          <w:u w:val="single"/>
        </w:rPr>
        <w:t xml:space="preserve">(ii) "Primary care" means wellness and prevention services and the diagnosis and treatment of health conditions</w:t>
      </w:r>
      <w:r>
        <w:rPr/>
        <w:t xml:space="preserve">.</w:t>
      </w:r>
    </w:p>
    <w:p>
      <w:pPr>
        <w:spacing w:before="0" w:after="0" w:line="408" w:lineRule="exact"/>
        <w:ind w:left="0" w:right="0" w:firstLine="576"/>
        <w:jc w:val="left"/>
      </w:pPr>
      <w:r>
        <w:rPr/>
        <w:t xml:space="preserve">(3) Revenues from the surcharge under this section must be deposited directly into the workforce education investment account established in RCW 43.79.195.</w:t>
      </w:r>
    </w:p>
    <w:p>
      <w:pPr>
        <w:spacing w:before="0" w:after="0" w:line="408" w:lineRule="exact"/>
        <w:ind w:left="0" w:right="0" w:firstLine="576"/>
        <w:jc w:val="left"/>
      </w:pPr>
      <w:r>
        <w:rPr/>
        <w:t xml:space="preserve">(4) The department has the authority to determine through an audit or other investigation whether a person is subject to the surcharge imposed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8c6b2be795dc4f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4900abb5f44c7b" /><Relationship Type="http://schemas.openxmlformats.org/officeDocument/2006/relationships/footer" Target="/word/footer1.xml" Id="R8c6b2be795dc4f59" /></Relationships>
</file>