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6effd7b3a41a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5745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2022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14,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4,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5745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5745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Senate Ways &amp; Means (originally sponsored by Senators Liias, Keiser, Conway, Nobles, and C. Wilson)</w:t>
      </w:r>
    </w:p>
    <w:p/>
    <w:p>
      <w:r>
        <w:rPr>
          <w:t xml:space="preserve">READ FIRST TIME 02/07/22.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personal needs allowance for persons receiving state financed care; and amending RCW 74.09.340.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09</w:t>
      </w:r>
      <w:r>
        <w:rPr/>
        <w:t xml:space="preserve">.</w:t>
      </w:r>
      <w:r>
        <w:t xml:space="preserve">340</w:t>
      </w:r>
      <w:r>
        <w:rPr/>
        <w:t xml:space="preserve"> and 2018 c 137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RCW 72.36.160, beginning January 1, 2019, the personal needs allowance for clients being served in medical institutions and in residential settings is </w:t>
      </w:r>
      <w:r>
        <w:t>((</w:t>
      </w:r>
      <w:r>
        <w:rPr>
          <w:strike/>
        </w:rPr>
        <w:t xml:space="preserve">seventy dollars</w:t>
      </w:r>
      <w:r>
        <w:t>))</w:t>
      </w:r>
      <w:r>
        <w:rPr/>
        <w:t xml:space="preserve"> </w:t>
      </w:r>
      <w:r>
        <w:rPr>
          <w:u w:val="single"/>
        </w:rPr>
        <w:t xml:space="preserve">$70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Beginning January 1, 2020, and each year thereafter, subject to the availability of amounts appropriated for this specific purpose, the personal needs allowance </w:t>
      </w:r>
      <w:r>
        <w:rPr>
          <w:u w:val="single"/>
        </w:rPr>
        <w:t xml:space="preserve">for clients being served in medical institutions and in residential settings</w:t>
      </w:r>
      <w:r>
        <w:rPr/>
        <w:t xml:space="preserve"> shall </w:t>
      </w:r>
      <w:r>
        <w:t>((</w:t>
      </w:r>
      <w:r>
        <w:rPr>
          <w:strike/>
        </w:rPr>
        <w:t xml:space="preserve">be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Be</w:t>
      </w:r>
      <w:r>
        <w:rPr/>
        <w:t xml:space="preserve"> adjusted for economic trends and conditions by increasing the allowance by the percentage cost-of-living adjustment for old-age, survivors, and disability social security benefits as published by the federal social security administration</w:t>
      </w:r>
      <w:r>
        <w:t>((</w:t>
      </w:r>
      <w:r>
        <w:rPr>
          <w:strike/>
        </w:rPr>
        <w:t xml:space="preserve">. However, in no case shall the personal needs allowance</w:t>
      </w:r>
      <w:r>
        <w:t>))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Not</w:t>
      </w:r>
      <w:r>
        <w:rPr/>
        <w:t xml:space="preserve"> exceed the maximum personal needs allowance permissible under the federal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Unless subject to a separate determination of a monthly maintenance needs allowance for a community spouse by authority rule, beginning July 1, 2022, the personal needs allowance for a client receiving home and community-based waiver services authorized by home and community services while living at home shall: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Be adjusted to an amount that is no less than 300 percent of the federal benefit rate;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Not exceed the maximum personal needs allowance permissible under the federal social security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6858938284d4be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5745.PL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1a3f1ab2c4d6f" /><Relationship Type="http://schemas.openxmlformats.org/officeDocument/2006/relationships/footer" Target="/word/footer1.xml" Id="Rf6858938284d4bed" /></Relationships>
</file>