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cb7680da7c457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5583</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2022</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2022</w:t>
            </w:r>
          </w:p>
          <w:p>
            <w:pPr>
              <w:ind w:left="0" w:right="0" w:firstLine="360"/>
            </w:pPr>
            <w:r>
              <w:t xml:space="preserve">Yeas </w:t>
              <w:t xml:space="preserve">88</w:t>
            </w:r>
            <w:r>
              <w:t xml:space="preserve">  Nays </w:t>
              <w:t xml:space="preserve">7</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5583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5583</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Trudeau, Hunt, Das, Dhingra, Hasegawa, Keiser, Kuderer, Lovelett, Mullet, Nguyen, Nobles, Randall, Rivers, Saldaña, Stanford, Wellman, and C. Wilson</w:t>
      </w:r>
    </w:p>
    <w:p/>
    <w:p>
      <w:r>
        <w:rPr>
          <w:t xml:space="preserve">Prefiled 12/22/21.</w:t>
        </w:rPr>
      </w:r>
      <w:r>
        <w:rPr>
          <w:t xml:space="preserve">Read first time 01/10/22.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adjustment of census data for local redistricting to reflect the last known place of residence for incarcerated persons; amending RCW 29A.76.010 and 29A.76.010;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2021 c 173 s 1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 </w:t>
      </w:r>
      <w:r>
        <w:rPr>
          <w:u w:val="single"/>
        </w:rPr>
        <w:t xml:space="preserve">as adjusted by RCW 44.05.140</w:t>
      </w:r>
      <w:r>
        <w:rPr/>
        <w:t xml:space="preserve">.</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Except as otherwise provided in chapter 301, Laws of 2018,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(a) By December 31, 2021, if the jurisdiction is scheduled to elect members to its governing body in 2022; or</w:t>
      </w:r>
    </w:p>
    <w:p>
      <w:pPr>
        <w:spacing w:before="0" w:after="0" w:line="408" w:lineRule="exact"/>
        <w:ind w:left="0" w:right="0" w:firstLine="576"/>
        <w:jc w:val="left"/>
      </w:pPr>
      <w:r>
        <w:rPr/>
        <w:t xml:space="preserve">(b) By November 15, 2022, if the jurisdiction is not scheduled to elect members to its governing body in 2022.</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Before adopting the plan, the municipal corporation, county, or district must:</w:t>
      </w:r>
    </w:p>
    <w:p>
      <w:pPr>
        <w:spacing w:before="0" w:after="0" w:line="408" w:lineRule="exact"/>
        <w:ind w:left="0" w:right="0" w:firstLine="576"/>
        <w:jc w:val="left"/>
      </w:pPr>
      <w:r>
        <w:rPr/>
        <w:t xml:space="preserve">(a) Publish the draft plan and hold a meeting, including notice and comment, within ten days of publishing the draft plan and at least one week before adopting the plan; and</w:t>
      </w:r>
    </w:p>
    <w:p>
      <w:pPr>
        <w:spacing w:before="0" w:after="0" w:line="408" w:lineRule="exact"/>
        <w:ind w:left="0" w:right="0" w:firstLine="576"/>
        <w:jc w:val="left"/>
      </w:pPr>
      <w:r>
        <w:rPr/>
        <w:t xml:space="preserve">(b) Amend the draft as necessary after receiving public comments and resubmit any amended draft plan for additional written public comment at least one week before adopting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2021 c 173 s 2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 </w:t>
      </w:r>
      <w:r>
        <w:rPr>
          <w:u w:val="single"/>
        </w:rPr>
        <w:t xml:space="preserve">as adjusted by RCW 44.05.140</w:t>
      </w:r>
      <w:r>
        <w:rPr/>
        <w:t xml:space="preserve">.</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Except as otherwise provided in chapter 301, Laws of 2018, no later than November 15th of each year ending in one,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Before adopting the plan, the municipal corporation, county, or district must:</w:t>
      </w:r>
    </w:p>
    <w:p>
      <w:pPr>
        <w:spacing w:before="0" w:after="0" w:line="408" w:lineRule="exact"/>
        <w:ind w:left="0" w:right="0" w:firstLine="576"/>
        <w:jc w:val="left"/>
      </w:pPr>
      <w:r>
        <w:rPr/>
        <w:t xml:space="preserve">(a) Publish the draft plan and hold a meeting, including notice and comment, within ten days of publishing the draft plan and at least one week before adopting the plan; and</w:t>
      </w:r>
    </w:p>
    <w:p>
      <w:pPr>
        <w:spacing w:before="0" w:after="0" w:line="408" w:lineRule="exact"/>
        <w:ind w:left="0" w:right="0" w:firstLine="576"/>
        <w:jc w:val="left"/>
      </w:pPr>
      <w:r>
        <w:rPr/>
        <w:t xml:space="preserve">(b) Amend the draft as necessary after receiving public comments and resubmit any amended draft plan for additional written public comment at least one week before adopting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2023.</w:t>
      </w:r>
    </w:p>
    <w:p/>
    <w:p>
      <w:pPr>
        <w:jc w:val="center"/>
      </w:pPr>
      <w:r>
        <w:rPr>
          <w:b/>
        </w:rPr>
        <w:t>--- END ---</w:t>
      </w:r>
    </w:p>
    <w:sectPr>
      <w:pgNumType w:start="1"/>
      <w:footerReference xmlns:r="http://schemas.openxmlformats.org/officeDocument/2006/relationships" r:id="Rbbef6d2d76914f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4065fd7dcd4542" /><Relationship Type="http://schemas.openxmlformats.org/officeDocument/2006/relationships/footer" Target="/word/footer1.xml" Id="Rbbef6d2d76914f61" /></Relationships>
</file>