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e863a2c4742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5198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3, 2021</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5198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Schoesler, Dozier, Honeyford, King, Short, and Warnick</w:t>
      </w:r>
    </w:p>
    <w:p/>
    <w:p>
      <w:r>
        <w:rPr>
          <w:t xml:space="preserve">Read first time 01/13/21.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restrictions on ambulances in rural areas;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2017 c 70 s 1 are each amended to read as follows:</w:t>
      </w:r>
    </w:p>
    <w:p>
      <w:pPr>
        <w:spacing w:before="0" w:after="0" w:line="408" w:lineRule="exact"/>
        <w:ind w:left="0" w:right="0" w:firstLine="576"/>
        <w:jc w:val="left"/>
      </w:pPr>
      <w:r>
        <w:rPr/>
        <w:t xml:space="preserve">(1)(a)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t xml:space="preserve">(b) Except as provided in subsection (2) of this section, the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t xml:space="preserve">(2) With approval from the department, an ambulance service established by volunteer or municipal corporations</w:t>
      </w:r>
      <w:r>
        <w:rPr>
          <w:u w:val="single"/>
        </w:rPr>
        <w:t xml:space="preserve">, or by an association made up entirely of two or more municipalities,</w:t>
      </w:r>
      <w:r>
        <w:rPr/>
        <w:t xml:space="preserve"> in a rural area with insufficient personnel may use a driver without any medical or first aid training so long as the driver is at least eighteen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NumType w:start="1"/>
      <w:footerReference xmlns:r="http://schemas.openxmlformats.org/officeDocument/2006/relationships" r:id="R0a203743695844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fc4b8b72d4200" /><Relationship Type="http://schemas.openxmlformats.org/officeDocument/2006/relationships/footer" Target="/word/footer1.xml" Id="R0a2037436958447b" /></Relationships>
</file>