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1e09c8b6b4dc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SENATE BILL 5164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2021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1,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28</w:t>
            </w:r>
            <w:r>
              <w:t xml:space="preserve">  Nays </w:t>
              <w:t xml:space="preserve">21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7,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52</w:t>
            </w:r>
            <w:r>
              <w:t xml:space="preserve">  Nays </w:t>
              <w:t xml:space="preserve">46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SENATE BILL 5164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5164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2021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Darneille, Das, Kuderer, Hasegawa, Liias, Saldaña, Salomon, and Wilson, C.</w:t>
      </w:r>
    </w:p>
    <w:p/>
    <w:p>
      <w:r>
        <w:rPr>
          <w:t xml:space="preserve">Read first time 01/12/21.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resentencing of individuals sentenced as a persistent offender due to a robbery in the second degree conviction; amending RCW 9.94A.345;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In any criminal case wherein an offender has been sentenced as a persistent offender, the offender must have a resentencing hearing if a current or past conviction for robbery in the second degree was used as a basis for the finding that the offender was a persistent offender. The prosecuting attorney for the county in which any offender was sentenced as a persistent offender shall review each sentencing document. If a current or past conviction for robbery in the second degree was used as a basis for a finding that an offender was a persistent offender, the prosecuting attorney shall, or the offender may, make a motion for relief from sentence to the original sentencing court.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sentencing court shall grant the motion if it finds that a current or past conviction for robbery in the second degree was used as a basis for a finding that the offender was a persistent offender and shall immediately set an expedited date for resentencing. At resentencing, the court shall sentence the offender as if robbery in the second degree was not a most serious offense at the time the original sentence was imposed.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Notwithstanding the provisions of RCW 9.94A.345, for purposes of resentencing under this section or sentencing any person as a persistent offender after the effective date of this section, robbery in the second degree shall not be considered a most serious offense regardless of whether the offense was committed before, on, or after the effective date of chapter 187, Laws of 2019.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345</w:t>
      </w:r>
      <w:r>
        <w:rPr/>
        <w:t xml:space="preserve"> and 2000 c 26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Any</w:t>
      </w:r>
      <w:r>
        <w:t>))</w:t>
      </w:r>
      <w:r>
        <w:rPr/>
        <w:t xml:space="preserve"> </w:t>
      </w:r>
      <w:r>
        <w:rPr>
          <w:u w:val="single"/>
        </w:rPr>
        <w:t xml:space="preserve">Except as otherwise provided in this chapter, any</w:t>
      </w:r>
      <w:r>
        <w:rPr/>
        <w:t xml:space="preserve"> sentence imposed under this chapter shall be determined in accordance with the law in effect when the current offense was committed.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7ae5c0ace744ff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5164.PL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7df0b543e4520" /><Relationship Type="http://schemas.openxmlformats.org/officeDocument/2006/relationships/footer" Target="/word/footer1.xml" Id="Rd7ae5c0ace744ff6" /></Relationships>
</file>