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4c9a075e5f47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Honeyford, Brown, Cleveland, Frockt, Holy, Mullet, and Warnick</w:t>
      </w:r>
    </w:p>
    <w:p/>
    <w:p>
      <w:r>
        <w:rPr>
          <w:t xml:space="preserve">Prefiled 12/22/20.</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community aviation revitalization loan program; amending RCW 43.79A.040 and 47.68.020; reenacting and amending 2019 c 413 s 7037 (uncodified); adding new sections to chapter 47.68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is in the best interest of the state. The legislature further finds it is in the best interest of the state to have a healthy and strong public use airport system for emergency response and enhanced economic opportunities.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must convene a community aviation revitalization board to exercise the powers granted under this chapter.</w:t>
      </w:r>
    </w:p>
    <w:p>
      <w:pPr>
        <w:spacing w:before="0" w:after="0" w:line="408" w:lineRule="exact"/>
        <w:ind w:left="0" w:right="0" w:firstLine="576"/>
        <w:jc w:val="left"/>
      </w:pPr>
      <w:r>
        <w:rPr/>
        <w:t xml:space="preserve">(2)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(5)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(6) A majority of members currently appointed constitutes a quorum.</w:t>
      </w:r>
    </w:p>
    <w:p>
      <w:pPr>
        <w:spacing w:before="0" w:after="0" w:line="408" w:lineRule="exact"/>
        <w:ind w:left="0" w:right="0" w:firstLine="576"/>
        <w:jc w:val="left"/>
      </w:pPr>
      <w:r>
        <w:rPr/>
        <w:t xml:space="preserve">(7) The board must meet three times a year or as deemed necessary by the department of transportation.</w:t>
      </w:r>
    </w:p>
    <w:p>
      <w:pPr>
        <w:spacing w:before="0" w:after="0" w:line="408" w:lineRule="exact"/>
        <w:ind w:left="0" w:right="0" w:firstLine="576"/>
        <w:jc w:val="left"/>
      </w:pPr>
      <w:r>
        <w:rPr/>
        <w:t xml:space="preserve">(8)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seventy-five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or</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8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(4) Loans issued to airport sponsors of nongovernmental airports must only be made from repaid loan funds deposited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7037</w:t>
      </w:r>
      <w:r>
        <w:rPr/>
        <w:t xml:space="preserve"> (uncodified) is reenacted and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sections 6023 and 4005</w:t>
      </w:r>
      <w:r>
        <w:rPr>
          <w:u w:val="single"/>
        </w:rPr>
        <w:t xml:space="preserve">, chapter 413, Laws of 2019 and sections 1 through 7</w:t>
      </w:r>
      <w:r>
        <w:rPr/>
        <w:t xml:space="preserve"> of this act must be deposited into the account. Expenditures from the account may be used only for the purposes described in sections 6023 and 4005</w:t>
      </w:r>
      <w:r>
        <w:rPr>
          <w:u w:val="single"/>
        </w:rPr>
        <w:t xml:space="preserve">, chapter 413, Laws of 2019 and sections 5 and 6</w:t>
      </w:r>
      <w:r>
        <w:rPr/>
        <w:t xml:space="preserve">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2020 c 18 s 2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any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"Airport sponsor" means any public agency or private entity owning or leasing a public use airport.</w:t>
      </w:r>
    </w:p>
    <w:p>
      <w:pPr>
        <w:spacing w:before="0" w:after="0" w:line="408" w:lineRule="exact"/>
        <w:ind w:left="0" w:right="0" w:firstLine="576"/>
        <w:jc w:val="left"/>
      </w:pPr>
      <w:r>
        <w:rPr>
          <w:u w:val="single"/>
        </w:rPr>
        <w:t xml:space="preserve">(17) "Public agency" means any state, political subdivision of a state, tax-supported organization, or Indian tribe.</w:t>
      </w:r>
    </w:p>
    <w:p>
      <w:pPr>
        <w:spacing w:before="0" w:after="0" w:line="408" w:lineRule="exact"/>
        <w:ind w:left="0" w:right="0" w:firstLine="576"/>
        <w:jc w:val="left"/>
      </w:pPr>
      <w:r>
        <w:rPr>
          <w:u w:val="single"/>
        </w:rPr>
        <w:t xml:space="preserve">(18) "Public use airport" means any airport that is used for public, governmental, county, or municipal purposes for matters of public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are each added to </w:t>
      </w:r>
      <w:r>
        <w:rPr/>
        <w:t xml:space="preserve">chapter </w:t>
      </w:r>
      <w:r>
        <w:t xml:space="preserve">47</w:t>
      </w:r>
      <w:r>
        <w:rPr/>
        <w:t xml:space="preserve">.</w:t>
      </w:r>
      <w:r>
        <w:t xml:space="preserve">68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2021.</w:t>
      </w:r>
    </w:p>
    <w:p/>
    <w:p>
      <w:pPr>
        <w:jc w:val="center"/>
      </w:pPr>
      <w:r>
        <w:rPr>
          <w:b/>
        </w:rPr>
        <w:t>--- END ---</w:t>
      </w:r>
    </w:p>
    <w:sectPr>
      <w:pgNumType w:start="1"/>
      <w:footerReference xmlns:r="http://schemas.openxmlformats.org/officeDocument/2006/relationships" r:id="Rf458d58543ca4f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4c571d8b34cf6" /><Relationship Type="http://schemas.openxmlformats.org/officeDocument/2006/relationships/footer" Target="/word/footer1.xml" Id="Rf458d58543ca4fb7" /></Relationships>
</file>