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939ae144a47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5008</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22, 2021</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5008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5008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Senators Robinson, Short, Brown, Hasegawa, and Wilson, C.</w:t>
      </w:r>
    </w:p>
    <w:p/>
    <w:p>
      <w:r>
        <w:rPr>
          <w:t xml:space="preserve">Prefiled 12/09/20.</w:t>
        </w:rPr>
      </w:r>
      <w:r>
        <w:rPr>
          <w:t xml:space="preserve">Read first time 01/11/21.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and weatherization; amending RCW 82.04.310;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2021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and noncarbon-emitting energy resources as required under state law; and</w:t>
      </w:r>
    </w:p>
    <w:p>
      <w:pPr>
        <w:spacing w:before="0" w:after="0" w:line="408" w:lineRule="exact"/>
        <w:ind w:left="0" w:right="0" w:firstLine="576"/>
        <w:jc w:val="left"/>
      </w:pPr>
      <w:r>
        <w:rPr/>
        <w:t xml:space="preserve">(c) Increase funds dedicated to low-income ratepayer assistance and weatherization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or weatherization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noncarbon-emitting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or weatherization, and that the funds generated for low-income ratepayer assistance or weatherization be additive to any existing funds used by the utility for those purposes.</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and weatherization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2019 c 202 s 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used or sold to manufacture transportation fuel, and renewable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2031,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or weatherization. The funds generated for low-income ratepayer assistance and weatherization under this subsection must be additive to and not supplant any existing funds used by the utility for low-income ratepayer assistance and weatherization.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317f1a999c694e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da5410e004a56" /><Relationship Type="http://schemas.openxmlformats.org/officeDocument/2006/relationships/footer" Target="/word/footer1.xml" Id="R317f1a999c694e81" /></Relationships>
</file>