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3248b157b4f0f" /></Relationships>
</file>

<file path=word/document.xml><?xml version="1.0" encoding="utf-8"?>
<w:document xmlns:w="http://schemas.openxmlformats.org/wordprocessingml/2006/main">
  <w:body>
    <w:p>
      <w:r>
        <w:t>S-4685.4</w:t>
      </w:r>
    </w:p>
    <w:p>
      <w:pPr>
        <w:jc w:val="center"/>
      </w:pPr>
      <w:r>
        <w:t>_______________________________________________</w:t>
      </w:r>
    </w:p>
    <w:p/>
    <w:p>
      <w:pPr>
        <w:jc w:val="center"/>
      </w:pPr>
      <w:r>
        <w:rPr>
          <w:b/>
        </w:rPr>
        <w:t>SUBSTITUTE SENATE BILL 5975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Liias, Randall, Carlyle, Cleveland, Das, Dhingra, Hunt, Kuderer, Lovelett, Lovick, Mullet, Nguyen, Nobles, Rolfes, Salomon, Trudeau, Wellman, and C. Wilson)</w:t>
      </w:r>
    </w:p>
    <w:p/>
    <w:p>
      <w:r>
        <w:rPr>
          <w:t xml:space="preserve">READ FIRST TIME 02/24/22.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omnibus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2023.</w:t>
      </w:r>
    </w:p>
    <w:p>
      <w:pPr>
        <w:spacing w:before="0" w:after="0" w:line="408" w:lineRule="exact"/>
        <w:ind w:left="0" w:right="0" w:firstLine="576"/>
        <w:jc w:val="left"/>
      </w:pPr>
      <w:r>
        <w:rPr/>
        <w:t xml:space="preserve">(2) Except as provided otherwise in this act, it is the intent of the legislature that the funding levels specified in LEAP Transportation Document 2022-A as developed February 20, 2022, represents a commitment to provide climate commitment act-related appropriations to the agencies, programs, and activities at the amounts identified therein through fiscal year 2038.</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2022" or "FY 2022" means the fiscal year ending June 30, 2022.</w:t>
      </w:r>
    </w:p>
    <w:p>
      <w:pPr>
        <w:spacing w:before="0" w:after="0" w:line="408" w:lineRule="exact"/>
        <w:ind w:left="0" w:right="0" w:firstLine="576"/>
        <w:jc w:val="left"/>
      </w:pPr>
      <w:r>
        <w:rPr/>
        <w:t xml:space="preserve">(b) "Fiscal year 2023" or "FY 2023" means the fiscal year ending June 30, 2023.</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TRANSPORTATION AGENCIES—OPERATING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TRANSPORTATION—PROGRAM V</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 </w:t>
      </w:r>
      <w:r>
        <w:tab/>
      </w:r>
      <w:r>
        <w:rPr/>
        <w:t xml:space="preserve">$54,260,000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$4,680,000 of the climate transit programs account</w:t>
      </w:r>
      <w:r>
        <w:rPr>
          <w:rFonts w:ascii="Times New Roman" w:hAnsi="Times New Roman"/>
        </w:rPr>
        <w:t xml:space="preserve">—</w:t>
      </w:r>
      <w:r>
        <w:rPr/>
        <w:t xml:space="preserve">state appropriation is provided solely for the projects and activities as listed in LEAP Transportation Document 2022 NL-3 as developed February 20, 2022. From the LEAP Transportation Document 2022 NL-3 as developed February 20, 2022, the department shall submit a ranked project list in three tiers to the transportation committees of the legislature and the office of financial management by December 1, 2022, based on community impacts of projects relating to the following minimum criteria:</w:t>
      </w:r>
    </w:p>
    <w:p>
      <w:pPr>
        <w:spacing w:before="0" w:after="0" w:line="408" w:lineRule="exact"/>
        <w:ind w:left="0" w:right="0" w:firstLine="576"/>
        <w:jc w:val="left"/>
      </w:pPr>
      <w:r>
        <w:rPr/>
        <w:t xml:space="preserve">(a) Direct benefit to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(b) Direct benefit to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(c) Proportion of local household incomes at or below 200 percent of the federal poverty level;</w:t>
      </w:r>
    </w:p>
    <w:p>
      <w:pPr>
        <w:spacing w:before="0" w:after="0" w:line="408" w:lineRule="exact"/>
        <w:ind w:left="0" w:right="0" w:firstLine="576"/>
        <w:jc w:val="left"/>
      </w:pPr>
      <w:r>
        <w:rPr/>
        <w:t xml:space="preserve">(d) Proportion of population with disabilities;</w:t>
      </w:r>
    </w:p>
    <w:p>
      <w:pPr>
        <w:spacing w:before="0" w:after="0" w:line="408" w:lineRule="exact"/>
        <w:ind w:left="0" w:right="0" w:firstLine="576"/>
        <w:jc w:val="left"/>
      </w:pPr>
      <w:r>
        <w:rPr/>
        <w:t xml:space="preserve">(e) Burden of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tribal lands or locations providing essential services to tribal members.</w:t>
      </w:r>
    </w:p>
    <w:p>
      <w:pPr>
        <w:spacing w:before="0" w:after="0" w:line="408" w:lineRule="exact"/>
        <w:ind w:left="0" w:right="0" w:firstLine="576"/>
        <w:jc w:val="left"/>
      </w:pPr>
      <w:r>
        <w:rPr/>
        <w:t xml:space="preserve">(2) $14,120,000 of the climate transit programs account</w:t>
      </w:r>
      <w:r>
        <w:rPr>
          <w:rFonts w:ascii="Times New Roman" w:hAnsi="Times New Roman"/>
        </w:rPr>
        <w:t xml:space="preserve">—</w:t>
      </w:r>
      <w:r>
        <w:rPr/>
        <w:t xml:space="preserve">state appropriation is provided solely for newly selected special needs grants.</w:t>
      </w:r>
    </w:p>
    <w:p>
      <w:pPr>
        <w:spacing w:before="0" w:after="0" w:line="408" w:lineRule="exact"/>
        <w:ind w:left="0" w:right="0" w:firstLine="576"/>
        <w:jc w:val="left"/>
      </w:pPr>
      <w:r>
        <w:rPr/>
        <w:t xml:space="preserve">(3) $29,750,000 of the climate transit programs account</w:t>
      </w:r>
      <w:r>
        <w:rPr>
          <w:rFonts w:ascii="Times New Roman" w:hAnsi="Times New Roman"/>
        </w:rPr>
        <w:t xml:space="preserve">—</w:t>
      </w:r>
      <w:r>
        <w:rPr/>
        <w:t xml:space="preserve">state appropriation is provided solely for transit support grants.</w:t>
      </w:r>
    </w:p>
    <w:p>
      <w:pPr>
        <w:spacing w:before="0" w:after="0" w:line="408" w:lineRule="exact"/>
        <w:ind w:left="0" w:right="0" w:firstLine="576"/>
        <w:jc w:val="left"/>
      </w:pPr>
      <w:r>
        <w:rPr/>
        <w:t xml:space="preserve">(4) $4,710,000 of the climate transit programs account</w:t>
      </w:r>
      <w:r>
        <w:rPr>
          <w:rFonts w:ascii="Times New Roman" w:hAnsi="Times New Roman"/>
        </w:rPr>
        <w:t xml:space="preserve">—</w:t>
      </w:r>
      <w:r>
        <w:rPr/>
        <w:t xml:space="preserve">state appropriation is provided solely for newly selected green transportation grants.</w:t>
      </w:r>
    </w:p>
    <w:p>
      <w:pPr>
        <w:spacing w:before="0" w:after="0" w:line="408" w:lineRule="exact"/>
        <w:ind w:left="0" w:right="0" w:firstLine="576"/>
        <w:jc w:val="left"/>
      </w:pPr>
      <w:r>
        <w:rPr/>
        <w:t xml:space="preserve">(5) $1,000,000 of the climate transit programs account</w:t>
      </w:r>
      <w:r>
        <w:rPr>
          <w:rFonts w:ascii="Times New Roman" w:hAnsi="Times New Roman"/>
        </w:rPr>
        <w:t xml:space="preserve">—</w:t>
      </w:r>
      <w:r>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120" w:after="0" w:line="408" w:lineRule="exact"/>
        <w:ind w:left="0" w:right="0" w:firstLine="576"/>
        <w:jc w:val="left"/>
      </w:pPr>
      <w:r>
        <w:rPr/>
        <w:t xml:space="preserve">The appropriations in this section are subject to the following conditions and limitations: The entire climate active transportation account</w:t>
      </w:r>
      <w:r>
        <w:rPr>
          <w:rFonts w:ascii="Times New Roman" w:hAnsi="Times New Roman"/>
        </w:rPr>
        <w:t xml:space="preserve">—</w:t>
      </w:r>
      <w:r>
        <w:rPr/>
        <w:t xml:space="preserve">state appropriation is provided solely for newly selected complete streets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pending federal grant opportunities. These funds are to remain in unallotted status and are available only upon receipt of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$6,890,000 of the climate active transportation account</w:t>
      </w:r>
      <w:r>
        <w:rPr>
          <w:rFonts w:ascii="Times New Roman" w:hAnsi="Times New Roman"/>
        </w:rPr>
        <w:t xml:space="preserve">—</w:t>
      </w:r>
      <w:r>
        <w:rPr/>
        <w:t xml:space="preserve">state appropriation is provided solely for newly selected pedestrian and bicycle safety program projects as listed in LEAP Transportation Document 2022 NL-2 as developed February 20, 2022. From the LEAP Transportation Document 2022 NL-2 as developed February 20, 2022, the department shall submit a ranked project list in three tiers to the transportation committees of the legislature and the office of financial management by December 1, 2022, based on community impacts of projects relating to the following minimum criteria:</w:t>
      </w:r>
    </w:p>
    <w:p>
      <w:pPr>
        <w:spacing w:before="0" w:after="0" w:line="408" w:lineRule="exact"/>
        <w:ind w:left="0" w:right="0" w:firstLine="576"/>
        <w:jc w:val="left"/>
      </w:pPr>
      <w:r>
        <w:rPr/>
        <w:t xml:space="preserve">(a) Direct benefit to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(b) Direct benefit to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(c) Proportion of local household incomes at or below 200 percent of the federal poverty level;</w:t>
      </w:r>
    </w:p>
    <w:p>
      <w:pPr>
        <w:spacing w:before="0" w:after="0" w:line="408" w:lineRule="exact"/>
        <w:ind w:left="0" w:right="0" w:firstLine="576"/>
        <w:jc w:val="left"/>
      </w:pPr>
      <w:r>
        <w:rPr/>
        <w:t xml:space="preserve">(d) Proportion of population with disabilities;</w:t>
      </w:r>
    </w:p>
    <w:p>
      <w:pPr>
        <w:spacing w:before="0" w:after="0" w:line="408" w:lineRule="exact"/>
        <w:ind w:left="0" w:right="0" w:firstLine="576"/>
        <w:jc w:val="left"/>
      </w:pPr>
      <w:r>
        <w:rPr/>
        <w:t xml:space="preserve">(e) Burden of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tribal lands or locations providing essential services to tribal members.</w:t>
      </w:r>
    </w:p>
    <w:p>
      <w:pPr>
        <w:spacing w:before="0" w:after="0" w:line="408" w:lineRule="exact"/>
        <w:ind w:left="0" w:right="0" w:firstLine="576"/>
        <w:jc w:val="left"/>
      </w:pPr>
      <w:r>
        <w:rPr/>
        <w:t xml:space="preserve">(2) $6,830,000 of the climate active transportation account</w:t>
      </w:r>
      <w:r>
        <w:rPr>
          <w:rFonts w:ascii="Times New Roman" w:hAnsi="Times New Roman"/>
        </w:rPr>
        <w:t xml:space="preserve">—</w:t>
      </w:r>
      <w:r>
        <w:rPr/>
        <w:t xml:space="preserve">state appropriation is provided solely for newly selected safe routes to school grants.</w:t>
      </w:r>
    </w:p>
    <w:p>
      <w:pPr>
        <w:spacing w:before="0" w:after="0" w:line="408" w:lineRule="exact"/>
        <w:ind w:left="0" w:right="0" w:firstLine="576"/>
        <w:jc w:val="left"/>
      </w:pPr>
      <w:r>
        <w:rPr/>
        <w:t xml:space="preserve">(3) $5,640,000 of the climate active transportation account</w:t>
      </w:r>
      <w:r>
        <w:rPr>
          <w:rFonts w:ascii="Times New Roman" w:hAnsi="Times New Roman"/>
        </w:rPr>
        <w:t xml:space="preserve">—</w:t>
      </w:r>
      <w:r>
        <w:rPr/>
        <w:t xml:space="preserve">state appropriation is provided solely for newly selected pedestrian and bicycle grants.</w:t>
      </w:r>
    </w:p>
    <w:p>
      <w:pPr>
        <w:spacing w:before="0" w:after="0" w:line="408" w:lineRule="exact"/>
        <w:ind w:left="0" w:right="0" w:firstLine="576"/>
        <w:jc w:val="left"/>
      </w:pPr>
      <w:r>
        <w:rPr/>
        <w:t xml:space="preserve">(4)(a) It is the intent of the legislature, over the first 5 years of the move ahead WA program, that $50,000,000 will be provided to the Seattle department of transportation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ten percent of the total cost of each project.</w:t>
      </w:r>
    </w:p>
    <w:p>
      <w:pPr>
        <w:spacing w:before="0" w:after="0" w:line="408" w:lineRule="exact"/>
        <w:ind w:left="0" w:right="0" w:firstLine="576"/>
        <w:jc w:val="left"/>
      </w:pPr>
      <w:r>
        <w:rPr/>
        <w:t xml:space="preserve">(c) The legislature intends that all Aurora Avenue North Safety Improvement projects funded in this program be completed by December 31, 2029, and that no funds may be expended for this purpose after this date.</w:t>
      </w:r>
    </w:p>
    <w:p>
      <w:pPr>
        <w:spacing w:before="0" w:after="0" w:line="408" w:lineRule="exact"/>
        <w:ind w:left="0" w:right="0" w:firstLine="576"/>
        <w:jc w:val="left"/>
      </w:pPr>
      <w:r>
        <w:rPr/>
        <w:t xml:space="preserve">(5) It is the intent of the legislature that $14,000,000 will be provided for the Guemes Ferry Boat Replacement Project (L4000124).</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(1)(a) Multimodal Transportation Account</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pPr>
        <w:tabs>
          <w:tab w:val="right" w:leader="dot" w:pos="9360"/>
        </w:tabs>
      </w:pPr>
      <w:r>
        <w:rPr/>
        <w:t xml:space="preserve">For transfer to the Carbon Emissions Reduction </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pPr>
      <w:r>
        <w:rPr/>
        <w:t xml:space="preserve">(b) It is the intent of the legislature that this transfer is temporary, for the purpose of ensuring a positive account balance for the remainder of the 2021-2023 biennium. An equivalent reimbursing transfer is to occur in 2023-2025.</w:t>
      </w:r>
    </w:p>
    <w:p>
      <w:pPr>
        <w:spacing w:before="0" w:after="0" w:line="408" w:lineRule="exact"/>
        <w:ind w:left="0" w:right="0" w:firstLine="576"/>
        <w:jc w:val="left"/>
        <w:tabs>
          <w:tab w:val="right" w:leader="dot" w:pos="9936"/>
        </w:tabs>
      </w:pPr>
      <w:pPr>
        <w:tabs>
          <w:tab w:val="right" w:leader="dot" w:pos="9360"/>
        </w:tabs>
      </w:pPr>
      <w:r>
        <w:rPr/>
        <w:t xml:space="preserve">(2) Carbon Emissions Reduction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Climate Active Transportation </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$22,360,000</w:t>
      </w:r>
    </w:p>
    <w:p>
      <w:pPr>
        <w:spacing w:before="0" w:after="0" w:line="408" w:lineRule="exact"/>
        <w:ind w:left="0" w:right="0" w:firstLine="576"/>
        <w:jc w:val="left"/>
        <w:tabs>
          <w:tab w:val="right" w:leader="dot" w:pos="9936"/>
        </w:tabs>
      </w:pPr>
      <w:pPr>
        <w:tabs>
          <w:tab w:val="right" w:leader="dot" w:pos="9360"/>
        </w:tabs>
      </w:pPr>
      <w:r>
        <w:rPr/>
        <w:t xml:space="preserve">(3) Carbon Emissions Reduction Account</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pPr>
        <w:tabs>
          <w:tab w:val="right" w:leader="dot" w:pos="9360"/>
        </w:tabs>
      </w:pPr>
      <w:r>
        <w:rPr/>
        <w:t xml:space="preserve">For transfer to the Climate Transit Programs </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$54,260,000</w:t>
      </w:r>
    </w:p>
    <w:p>
      <w:pPr>
        <w:spacing w:before="0" w:after="0" w:line="408" w:lineRule="exact"/>
        <w:ind w:left="0" w:right="0" w:firstLine="576"/>
        <w:jc w:val="left"/>
        <w:tabs>
          <w:tab w:val="right" w:leader="dot" w:pos="9936"/>
        </w:tabs>
      </w:pPr>
      <w:pPr>
        <w:tabs>
          <w:tab w:val="right" w:leader="dot" w:pos="9360"/>
        </w:tabs>
      </w:pPr>
      <w:r>
        <w:rPr/>
        <w:t xml:space="preserve">(4)(a) Carbon Emissions Reduction Account</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 </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pPr>
      <w:r>
        <w:rPr/>
        <w:t xml:space="preserve">(b) The amount transferred in this subsection represents an estimate of fare replacement revenue to account for the implementation of 18 and under fare-free policies.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d5d43e6708646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7157d805241f9" /><Relationship Type="http://schemas.openxmlformats.org/officeDocument/2006/relationships/footer" Target="/word/footer1.xml" Id="R1d5d43e670864690" /></Relationships>
</file>