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e600ee7bdf4888" /></Relationships>
</file>

<file path=word/document.xml><?xml version="1.0" encoding="utf-8"?>
<w:document xmlns:w="http://schemas.openxmlformats.org/wordprocessingml/2006/main">
  <w:body>
    <w:p>
      <w:r>
        <w:t>S-4046.3</w:t>
      </w:r>
    </w:p>
    <w:p>
      <w:pPr>
        <w:jc w:val="center"/>
      </w:pPr>
      <w:r>
        <w:t>_______________________________________________</w:t>
      </w:r>
    </w:p>
    <w:p/>
    <w:p>
      <w:pPr>
        <w:jc w:val="center"/>
      </w:pPr>
      <w:r>
        <w:rPr>
          <w:b/>
        </w:rPr>
        <w:t>SENATE BILL 5965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Braun, Dozier, Hawkins, Holy, Muzzall, Rivers, Schoesler, Short, Wagoner, and J. Wilson</w:t>
      </w:r>
    </w:p>
    <w:p/>
    <w:p>
      <w:r>
        <w:rPr>
          <w:t xml:space="preserve">Read first time 01/31/22.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the long-term services and supports trust program authorized in chapter 50B.04 RCW, including the repeal of taxes to be paid by employees through payroll deductions; creating new sections; and repealing RCW 50B.04.010, 50B.04.020, 50B.04.030, 50B.04.040, 50B.04.050, 50B.04.060, 50B.04.070, 50B.04.080, 50B.04.085, 50B.04.090, 50B.04.095, 50B.04.100, 50B.04.110, 50B.04.120, 50B.04.130, 50B.04.140, 50B.04.150, 50B.04.160, 50B.04.900, and 50B.04.---.</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In 2019, the legislature enacted the long-term services and supports trust program, which authorized a fifty-eight hundredths of one percent premium on employee wages beginning in January 2022 to pay for long-term care benefits for qualified individuals beginning in 2025.</w:t>
      </w:r>
    </w:p>
    <w:p>
      <w:pPr>
        <w:spacing w:before="0" w:after="0" w:line="408" w:lineRule="exact"/>
        <w:ind w:left="0" w:right="0" w:firstLine="576"/>
        <w:jc w:val="left"/>
      </w:pPr>
      <w:r>
        <w:rPr/>
        <w:t xml:space="preserve">(2) The state's constitution only permits treasury investments which typically yield returns between two and three percent. However, the solvency of the program was based on an actuarial model that assumed over five percent investment returns.</w:t>
      </w:r>
    </w:p>
    <w:p>
      <w:pPr>
        <w:spacing w:before="0" w:after="0" w:line="408" w:lineRule="exact"/>
        <w:ind w:left="0" w:right="0" w:firstLine="576"/>
        <w:jc w:val="left"/>
      </w:pPr>
      <w:r>
        <w:rPr/>
        <w:t xml:space="preserve">(3) In 2020, the legislature passed a constitutional amendment that would have allowed investment of the program's funds in vehicles besides treasuries, including stocks and bonds. The amendment was rejected by voters.</w:t>
      </w:r>
    </w:p>
    <w:p>
      <w:pPr>
        <w:spacing w:before="0" w:after="0" w:line="408" w:lineRule="exact"/>
        <w:ind w:left="0" w:right="0" w:firstLine="576"/>
        <w:jc w:val="left"/>
      </w:pPr>
      <w:r>
        <w:rPr/>
        <w:t xml:space="preserve">(4) The investment returns that the program is based on are unattainable under current law and now the program has an unfunded liability projected at $15,000,000,000 in net present value. Benefit cuts or further premium increases will be necessary to address the program's solvency.</w:t>
      </w:r>
    </w:p>
    <w:p>
      <w:pPr>
        <w:spacing w:before="0" w:after="0" w:line="408" w:lineRule="exact"/>
        <w:ind w:left="0" w:right="0" w:firstLine="576"/>
        <w:jc w:val="left"/>
      </w:pPr>
      <w:r>
        <w:rPr/>
        <w:t xml:space="preserve">(5) In a 2019 advisory vote, voters rejected the program's premium by over 67 percent. And in 2020, they rejected a funding mechanism for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50B</w:t>
      </w:r>
      <w:r>
        <w:rPr/>
        <w:t xml:space="preserve">.</w:t>
      </w:r>
      <w:r>
        <w:t xml:space="preserve">04</w:t>
      </w:r>
      <w:r>
        <w:rPr/>
        <w:t xml:space="preserve">.</w:t>
      </w:r>
      <w:r>
        <w:t xml:space="preserve">010</w:t>
      </w:r>
      <w:r>
        <w:rPr/>
        <w:t xml:space="preserve"> (Definitions) and 2021 c 113 s 1, 2020 c 98 s 1, &amp; 2019 c 363 s 2;</w:t>
      </w:r>
    </w:p>
    <w:p>
      <w:pPr>
        <w:spacing w:before="0" w:after="0" w:line="408" w:lineRule="exact"/>
        <w:ind w:left="0" w:right="0" w:firstLine="576"/>
        <w:jc w:val="left"/>
      </w:pPr>
      <w:r>
        <w:t>(2)</w:t>
      </w:r>
      <w:r>
        <w:rPr/>
        <w:t xml:space="preserve">RCW </w:t>
      </w:r>
      <w:r>
        <w:t xml:space="preserve">50B</w:t>
      </w:r>
      <w:r>
        <w:rPr/>
        <w:t xml:space="preserve">.</w:t>
      </w:r>
      <w:r>
        <w:t xml:space="preserve">04</w:t>
      </w:r>
      <w:r>
        <w:rPr/>
        <w:t xml:space="preserve">.</w:t>
      </w:r>
      <w:r>
        <w:t xml:space="preserve">020</w:t>
      </w:r>
      <w:r>
        <w:rPr/>
        <w:t xml:space="preserve"> (Duties</w:t>
      </w:r>
      <w:r>
        <w:rPr>
          <w:rFonts w:ascii="Times New Roman" w:hAnsi="Times New Roman"/>
        </w:rPr>
        <w:t xml:space="preserve">—</w:t>
      </w:r>
      <w:r>
        <w:rPr/>
        <w:t xml:space="preserve">Health care authority, department of social and health services, office of the state actuary, employment security department) and 2022 c 1 s 1, 2021 c 113 s 2, 2020 c 98 s 2, &amp; 2019 c 363 s 3;</w:t>
      </w:r>
    </w:p>
    <w:p>
      <w:pPr>
        <w:spacing w:before="0" w:after="0" w:line="408" w:lineRule="exact"/>
        <w:ind w:left="0" w:right="0" w:firstLine="576"/>
        <w:jc w:val="left"/>
      </w:pPr>
      <w:r>
        <w:t>(3)</w:t>
      </w:r>
      <w:r>
        <w:rPr/>
        <w:t xml:space="preserve">RCW </w:t>
      </w:r>
      <w:r>
        <w:t xml:space="preserve">50B</w:t>
      </w:r>
      <w:r>
        <w:rPr/>
        <w:t xml:space="preserve">.</w:t>
      </w:r>
      <w:r>
        <w:t xml:space="preserve">04</w:t>
      </w:r>
      <w:r>
        <w:rPr/>
        <w:t xml:space="preserve">.</w:t>
      </w:r>
      <w:r>
        <w:t xml:space="preserve">030</w:t>
      </w:r>
      <w:r>
        <w:rPr/>
        <w:t xml:space="preserve"> (Long-term services and supports trust commission</w:t>
      </w:r>
      <w:r>
        <w:rPr>
          <w:rFonts w:ascii="Times New Roman" w:hAnsi="Times New Roman"/>
        </w:rPr>
        <w:t xml:space="preserve">—</w:t>
      </w:r>
      <w:r>
        <w:rPr/>
        <w:t xml:space="preserve">Investment strategy subcommittee) and 2022 c 1 s 2, 2021 c 113 s 3, &amp; 2019 c 363 s 4;</w:t>
      </w:r>
    </w:p>
    <w:p>
      <w:pPr>
        <w:spacing w:before="0" w:after="0" w:line="408" w:lineRule="exact"/>
        <w:ind w:left="0" w:right="0" w:firstLine="576"/>
        <w:jc w:val="left"/>
      </w:pPr>
      <w:r>
        <w:t>(4)</w:t>
      </w:r>
      <w:r>
        <w:rPr/>
        <w:t xml:space="preserve">RCW </w:t>
      </w:r>
      <w:r>
        <w:t xml:space="preserve">50B</w:t>
      </w:r>
      <w:r>
        <w:rPr/>
        <w:t xml:space="preserve">.</w:t>
      </w:r>
      <w:r>
        <w:t xml:space="preserve">04</w:t>
      </w:r>
      <w:r>
        <w:rPr/>
        <w:t xml:space="preserve">.</w:t>
      </w:r>
      <w:r>
        <w:t xml:space="preserve">040</w:t>
      </w:r>
      <w:r>
        <w:rPr/>
        <w:t xml:space="preserve"> (Long-term services and supports council</w:t>
      </w:r>
      <w:r>
        <w:rPr>
          <w:rFonts w:ascii="Times New Roman" w:hAnsi="Times New Roman"/>
        </w:rPr>
        <w:t xml:space="preserve">—</w:t>
      </w:r>
      <w:r>
        <w:rPr/>
        <w:t xml:space="preserve">Benefit unit adjustment) and 2019 c 363 s 5;</w:t>
      </w:r>
    </w:p>
    <w:p>
      <w:pPr>
        <w:spacing w:before="0" w:after="0" w:line="408" w:lineRule="exact"/>
        <w:ind w:left="0" w:right="0" w:firstLine="576"/>
        <w:jc w:val="left"/>
      </w:pPr>
      <w:r>
        <w:t>(5)</w:t>
      </w:r>
      <w:r>
        <w:rPr/>
        <w:t xml:space="preserve">RCW </w:t>
      </w:r>
      <w:r>
        <w:t xml:space="preserve">50B</w:t>
      </w:r>
      <w:r>
        <w:rPr/>
        <w:t xml:space="preserve">.</w:t>
      </w:r>
      <w:r>
        <w:t xml:space="preserve">04</w:t>
      </w:r>
      <w:r>
        <w:rPr/>
        <w:t xml:space="preserve">.</w:t>
      </w:r>
      <w:r>
        <w:t xml:space="preserve">050</w:t>
      </w:r>
      <w:r>
        <w:rPr/>
        <w:t xml:space="preserve"> (Qualified individuals) and 2022 c 2 s 3, 2022 c 1 s 3, 2021 c 113 s 4, 2020 c 98 s 3, &amp; 2019 c 363 s 6;</w:t>
      </w:r>
    </w:p>
    <w:p>
      <w:pPr>
        <w:spacing w:before="0" w:after="0" w:line="408" w:lineRule="exact"/>
        <w:ind w:left="0" w:right="0" w:firstLine="576"/>
        <w:jc w:val="left"/>
      </w:pPr>
      <w:r>
        <w:t>(6)</w:t>
      </w:r>
      <w:r>
        <w:rPr/>
        <w:t xml:space="preserve">RCW </w:t>
      </w:r>
      <w:r>
        <w:t xml:space="preserve">50B</w:t>
      </w:r>
      <w:r>
        <w:rPr/>
        <w:t xml:space="preserve">.</w:t>
      </w:r>
      <w:r>
        <w:t xml:space="preserve">04</w:t>
      </w:r>
      <w:r>
        <w:rPr/>
        <w:t xml:space="preserve">.</w:t>
      </w:r>
      <w:r>
        <w:t xml:space="preserve">060</w:t>
      </w:r>
      <w:r>
        <w:rPr/>
        <w:t xml:space="preserve"> (Eligible beneficiaries</w:t>
      </w:r>
      <w:r>
        <w:rPr>
          <w:rFonts w:ascii="Times New Roman" w:hAnsi="Times New Roman"/>
        </w:rPr>
        <w:t xml:space="preserve">—</w:t>
      </w:r>
      <w:r>
        <w:rPr/>
        <w:t xml:space="preserve">Determination</w:t>
      </w:r>
      <w:r>
        <w:rPr>
          <w:rFonts w:ascii="Times New Roman" w:hAnsi="Times New Roman"/>
        </w:rPr>
        <w:t xml:space="preserve">—</w:t>
      </w:r>
      <w:r>
        <w:rPr/>
        <w:t xml:space="preserve">Services and benefits) and 2022 c 1 s 4 &amp; 2019 c 363 s 7;</w:t>
      </w:r>
    </w:p>
    <w:p>
      <w:pPr>
        <w:spacing w:before="0" w:after="0" w:line="408" w:lineRule="exact"/>
        <w:ind w:left="0" w:right="0" w:firstLine="576"/>
        <w:jc w:val="left"/>
      </w:pPr>
      <w:r>
        <w:t>(7)</w:t>
      </w:r>
      <w:r>
        <w:rPr/>
        <w:t xml:space="preserve">RCW </w:t>
      </w:r>
      <w:r>
        <w:t xml:space="preserve">50B</w:t>
      </w:r>
      <w:r>
        <w:rPr/>
        <w:t xml:space="preserve">.</w:t>
      </w:r>
      <w:r>
        <w:t xml:space="preserve">04</w:t>
      </w:r>
      <w:r>
        <w:rPr/>
        <w:t xml:space="preserve">.</w:t>
      </w:r>
      <w:r>
        <w:t xml:space="preserve">070</w:t>
      </w:r>
      <w:r>
        <w:rPr/>
        <w:t xml:space="preserve"> (Payment of benefits) and 2019 c 363 s 8;</w:t>
      </w:r>
    </w:p>
    <w:p>
      <w:pPr>
        <w:spacing w:before="0" w:after="0" w:line="408" w:lineRule="exact"/>
        <w:ind w:left="0" w:right="0" w:firstLine="576"/>
        <w:jc w:val="left"/>
      </w:pPr>
      <w:r>
        <w:t>(8)</w:t>
      </w:r>
      <w:r>
        <w:rPr/>
        <w:t xml:space="preserve">RCW </w:t>
      </w:r>
      <w:r>
        <w:t xml:space="preserve">50B</w:t>
      </w:r>
      <w:r>
        <w:rPr/>
        <w:t xml:space="preserve">.</w:t>
      </w:r>
      <w:r>
        <w:t xml:space="preserve">04</w:t>
      </w:r>
      <w:r>
        <w:rPr/>
        <w:t xml:space="preserve">.</w:t>
      </w:r>
      <w:r>
        <w:t xml:space="preserve">080</w:t>
      </w:r>
      <w:r>
        <w:rPr/>
        <w:t xml:space="preserve"> (Premium assessment</w:t>
      </w:r>
      <w:r>
        <w:rPr>
          <w:rFonts w:ascii="Times New Roman" w:hAnsi="Times New Roman"/>
        </w:rPr>
        <w:t xml:space="preserve">—</w:t>
      </w:r>
      <w:r>
        <w:rPr/>
        <w:t xml:space="preserve">Rate</w:t>
      </w:r>
      <w:r>
        <w:rPr>
          <w:rFonts w:ascii="Times New Roman" w:hAnsi="Times New Roman"/>
        </w:rPr>
        <w:t xml:space="preserve">—</w:t>
      </w:r>
      <w:r>
        <w:rPr/>
        <w:t xml:space="preserve">Collection) and 2022 c 2 s 1, 2022 c 1 s 5, 2020 c 98 s 4, &amp; 2019 c 363 s 9;</w:t>
      </w:r>
    </w:p>
    <w:p>
      <w:pPr>
        <w:spacing w:before="0" w:after="0" w:line="408" w:lineRule="exact"/>
        <w:ind w:left="0" w:right="0" w:firstLine="576"/>
        <w:jc w:val="left"/>
      </w:pPr>
      <w:r>
        <w:t>(9)</w:t>
      </w:r>
      <w:r>
        <w:rPr/>
        <w:t xml:space="preserve">RCW </w:t>
      </w:r>
      <w:r>
        <w:t xml:space="preserve">50B</w:t>
      </w:r>
      <w:r>
        <w:rPr/>
        <w:t xml:space="preserve">.</w:t>
      </w:r>
      <w:r>
        <w:t xml:space="preserve">04</w:t>
      </w:r>
      <w:r>
        <w:rPr/>
        <w:t xml:space="preserve">.</w:t>
      </w:r>
      <w:r>
        <w:t xml:space="preserve">085</w:t>
      </w:r>
      <w:r>
        <w:rPr/>
        <w:t xml:space="preserve"> (Premium assessment</w:t>
      </w:r>
      <w:r>
        <w:rPr>
          <w:rFonts w:ascii="Times New Roman" w:hAnsi="Times New Roman"/>
        </w:rPr>
        <w:t xml:space="preserve">—</w:t>
      </w:r>
      <w:r>
        <w:rPr/>
        <w:t xml:space="preserve">Exemptions) and 2021 c 113 s 5 &amp; 2020 c 98 s 7;</w:t>
      </w:r>
    </w:p>
    <w:p>
      <w:pPr>
        <w:spacing w:before="0" w:after="0" w:line="408" w:lineRule="exact"/>
        <w:ind w:left="0" w:right="0" w:firstLine="576"/>
        <w:jc w:val="left"/>
      </w:pPr>
      <w:r>
        <w:t>(10)</w:t>
      </w:r>
      <w:r>
        <w:rPr/>
        <w:t xml:space="preserve">RCW </w:t>
      </w:r>
      <w:r>
        <w:t xml:space="preserve">50B</w:t>
      </w:r>
      <w:r>
        <w:rPr/>
        <w:t xml:space="preserve">.</w:t>
      </w:r>
      <w:r>
        <w:t xml:space="preserve">04</w:t>
      </w:r>
      <w:r>
        <w:rPr/>
        <w:t xml:space="preserve">.</w:t>
      </w:r>
      <w:r>
        <w:t xml:space="preserve">090</w:t>
      </w:r>
      <w:r>
        <w:rPr/>
        <w:t xml:space="preserve"> (Election of coverage</w:t>
      </w:r>
      <w:r>
        <w:rPr>
          <w:rFonts w:ascii="Times New Roman" w:hAnsi="Times New Roman"/>
        </w:rPr>
        <w:t xml:space="preserve">—</w:t>
      </w:r>
      <w:r>
        <w:rPr/>
        <w:t xml:space="preserve">Self-employed persons) and 2022 c 1 s 6, 2021 c 113 s 6, 2020 c 98 s 5, &amp; 2019 c 363 s 10;</w:t>
      </w:r>
    </w:p>
    <w:p>
      <w:pPr>
        <w:spacing w:before="0" w:after="0" w:line="408" w:lineRule="exact"/>
        <w:ind w:left="0" w:right="0" w:firstLine="576"/>
        <w:jc w:val="left"/>
      </w:pPr>
      <w:r>
        <w:t>(11)</w:t>
      </w:r>
      <w:r>
        <w:rPr/>
        <w:t xml:space="preserve">RCW </w:t>
      </w:r>
      <w:r>
        <w:t xml:space="preserve">50B</w:t>
      </w:r>
      <w:r>
        <w:rPr/>
        <w:t xml:space="preserve">.</w:t>
      </w:r>
      <w:r>
        <w:t xml:space="preserve">04</w:t>
      </w:r>
      <w:r>
        <w:rPr/>
        <w:t xml:space="preserve">.</w:t>
      </w:r>
      <w:r>
        <w:t xml:space="preserve">095</w:t>
      </w:r>
      <w:r>
        <w:rPr/>
        <w:t xml:space="preserve"> (Election of coverage</w:t>
      </w:r>
      <w:r>
        <w:rPr>
          <w:rFonts w:ascii="Times New Roman" w:hAnsi="Times New Roman"/>
        </w:rPr>
        <w:t xml:space="preserve">—</w:t>
      </w:r>
      <w:r>
        <w:rPr/>
        <w:t xml:space="preserve">Federally recognized tribe) and 2021 c 113 s 7;</w:t>
      </w:r>
    </w:p>
    <w:p>
      <w:pPr>
        <w:spacing w:before="0" w:after="0" w:line="408" w:lineRule="exact"/>
        <w:ind w:left="0" w:right="0" w:firstLine="576"/>
        <w:jc w:val="left"/>
      </w:pPr>
      <w:r>
        <w:t>(12)</w:t>
      </w:r>
      <w:r>
        <w:rPr/>
        <w:t xml:space="preserve">RCW </w:t>
      </w:r>
      <w:r>
        <w:t xml:space="preserve">50B</w:t>
      </w:r>
      <w:r>
        <w:rPr/>
        <w:t xml:space="preserve">.</w:t>
      </w:r>
      <w:r>
        <w:t xml:space="preserve">04</w:t>
      </w:r>
      <w:r>
        <w:rPr/>
        <w:t xml:space="preserve">.</w:t>
      </w:r>
      <w:r>
        <w:t xml:space="preserve">100</w:t>
      </w:r>
      <w:r>
        <w:rPr/>
        <w:t xml:space="preserve"> (Long-term services and supports trust account) and 2019 c 363 s 11;</w:t>
      </w:r>
    </w:p>
    <w:p>
      <w:pPr>
        <w:spacing w:before="0" w:after="0" w:line="408" w:lineRule="exact"/>
        <w:ind w:left="0" w:right="0" w:firstLine="576"/>
        <w:jc w:val="left"/>
      </w:pPr>
      <w:r>
        <w:t>(13)</w:t>
      </w:r>
      <w:r>
        <w:rPr/>
        <w:t xml:space="preserve">RCW </w:t>
      </w:r>
      <w:r>
        <w:t xml:space="preserve">50B</w:t>
      </w:r>
      <w:r>
        <w:rPr/>
        <w:t xml:space="preserve">.</w:t>
      </w:r>
      <w:r>
        <w:t xml:space="preserve">04</w:t>
      </w:r>
      <w:r>
        <w:rPr/>
        <w:t xml:space="preserve">.</w:t>
      </w:r>
      <w:r>
        <w:t xml:space="preserve">110</w:t>
      </w:r>
      <w:r>
        <w:rPr/>
        <w:t xml:space="preserve"> (Long-term services and supports trust account</w:t>
      </w:r>
      <w:r>
        <w:rPr>
          <w:rFonts w:ascii="Times New Roman" w:hAnsi="Times New Roman"/>
        </w:rPr>
        <w:t xml:space="preserve">—</w:t>
      </w:r>
      <w:r>
        <w:rPr/>
        <w:t xml:space="preserve">Investment</w:t>
      </w:r>
      <w:r>
        <w:rPr>
          <w:rFonts w:ascii="Times New Roman" w:hAnsi="Times New Roman"/>
        </w:rPr>
        <w:t xml:space="preserve">—</w:t>
      </w:r>
      <w:r>
        <w:rPr/>
        <w:t xml:space="preserve">Policies) and 2019 c 363 s 12;</w:t>
      </w:r>
    </w:p>
    <w:p>
      <w:pPr>
        <w:spacing w:before="0" w:after="0" w:line="408" w:lineRule="exact"/>
        <w:ind w:left="0" w:right="0" w:firstLine="576"/>
        <w:jc w:val="left"/>
      </w:pPr>
      <w:r>
        <w:t>(14)</w:t>
      </w:r>
      <w:r>
        <w:rPr/>
        <w:t xml:space="preserve">RCW </w:t>
      </w:r>
      <w:r>
        <w:t xml:space="preserve">50B</w:t>
      </w:r>
      <w:r>
        <w:rPr/>
        <w:t xml:space="preserve">.</w:t>
      </w:r>
      <w:r>
        <w:t xml:space="preserve">04</w:t>
      </w:r>
      <w:r>
        <w:rPr/>
        <w:t xml:space="preserve">.</w:t>
      </w:r>
      <w:r>
        <w:t xml:space="preserve">120</w:t>
      </w:r>
      <w:r>
        <w:rPr/>
        <w:t xml:space="preserve"> (Appeal of determinations) and 2020 c 98 s 6 &amp; 2019 c 363 s 13;</w:t>
      </w:r>
    </w:p>
    <w:p>
      <w:pPr>
        <w:spacing w:before="0" w:after="0" w:line="408" w:lineRule="exact"/>
        <w:ind w:left="0" w:right="0" w:firstLine="576"/>
        <w:jc w:val="left"/>
      </w:pPr>
      <w:r>
        <w:t>(15)</w:t>
      </w:r>
      <w:r>
        <w:rPr/>
        <w:t xml:space="preserve">RCW </w:t>
      </w:r>
      <w:r>
        <w:t xml:space="preserve">50B</w:t>
      </w:r>
      <w:r>
        <w:rPr/>
        <w:t xml:space="preserve">.</w:t>
      </w:r>
      <w:r>
        <w:t xml:space="preserve">04</w:t>
      </w:r>
      <w:r>
        <w:rPr/>
        <w:t xml:space="preserve">.</w:t>
      </w:r>
      <w:r>
        <w:t xml:space="preserve">130</w:t>
      </w:r>
      <w:r>
        <w:rPr/>
        <w:t xml:space="preserve"> (Medicare data and waiver</w:t>
      </w:r>
      <w:r>
        <w:rPr>
          <w:rFonts w:ascii="Times New Roman" w:hAnsi="Times New Roman"/>
        </w:rPr>
        <w:t xml:space="preserve">—</w:t>
      </w:r>
      <w:r>
        <w:rPr/>
        <w:t xml:space="preserve">Report) and 2019 c 363 s 14;</w:t>
      </w:r>
    </w:p>
    <w:p>
      <w:pPr>
        <w:spacing w:before="0" w:after="0" w:line="408" w:lineRule="exact"/>
        <w:ind w:left="0" w:right="0" w:firstLine="576"/>
        <w:jc w:val="left"/>
      </w:pPr>
      <w:r>
        <w:t>(16)</w:t>
      </w:r>
      <w:r>
        <w:rPr/>
        <w:t xml:space="preserve">RCW </w:t>
      </w:r>
      <w:r>
        <w:t xml:space="preserve">50B</w:t>
      </w:r>
      <w:r>
        <w:rPr/>
        <w:t xml:space="preserve">.</w:t>
      </w:r>
      <w:r>
        <w:t xml:space="preserve">04</w:t>
      </w:r>
      <w:r>
        <w:rPr/>
        <w:t xml:space="preserve">.</w:t>
      </w:r>
      <w:r>
        <w:t xml:space="preserve">140</w:t>
      </w:r>
      <w:r>
        <w:rPr/>
        <w:t xml:space="preserve"> (Reports to legislature) and 2022 c 1 s 7 &amp; 2019 c 363 s 15;</w:t>
      </w:r>
    </w:p>
    <w:p>
      <w:pPr>
        <w:spacing w:before="0" w:after="0" w:line="408" w:lineRule="exact"/>
        <w:ind w:left="0" w:right="0" w:firstLine="576"/>
        <w:jc w:val="left"/>
      </w:pPr>
      <w:r>
        <w:t>(17)</w:t>
      </w:r>
      <w:r>
        <w:rPr/>
        <w:t xml:space="preserve">RCW </w:t>
      </w:r>
      <w:r>
        <w:t xml:space="preserve">50B</w:t>
      </w:r>
      <w:r>
        <w:rPr/>
        <w:t xml:space="preserve">.</w:t>
      </w:r>
      <w:r>
        <w:t xml:space="preserve">04</w:t>
      </w:r>
      <w:r>
        <w:rPr/>
        <w:t xml:space="preserve">.</w:t>
      </w:r>
      <w:r>
        <w:t xml:space="preserve">150</w:t>
      </w:r>
      <w:r>
        <w:rPr/>
        <w:t xml:space="preserve"> (Benefits not income or resource) and 2019 c 363 s 16;</w:t>
      </w:r>
    </w:p>
    <w:p>
      <w:pPr>
        <w:spacing w:before="0" w:after="0" w:line="408" w:lineRule="exact"/>
        <w:ind w:left="0" w:right="0" w:firstLine="576"/>
        <w:jc w:val="left"/>
      </w:pPr>
      <w:r>
        <w:t>(18)</w:t>
      </w:r>
      <w:r>
        <w:rPr/>
        <w:t xml:space="preserve">RCW </w:t>
      </w:r>
      <w:r>
        <w:t xml:space="preserve">50B</w:t>
      </w:r>
      <w:r>
        <w:rPr/>
        <w:t xml:space="preserve">.</w:t>
      </w:r>
      <w:r>
        <w:t xml:space="preserve">04</w:t>
      </w:r>
      <w:r>
        <w:rPr/>
        <w:t xml:space="preserve">.</w:t>
      </w:r>
      <w:r>
        <w:t xml:space="preserve">160</w:t>
      </w:r>
      <w:r>
        <w:rPr/>
        <w:t xml:space="preserve"> (Entitlement not created) and 2019 c 363 s 17;</w:t>
      </w:r>
    </w:p>
    <w:p>
      <w:pPr>
        <w:spacing w:before="0" w:after="0" w:line="408" w:lineRule="exact"/>
        <w:ind w:left="0" w:right="0" w:firstLine="576"/>
        <w:jc w:val="left"/>
      </w:pPr>
      <w:r>
        <w:t>(19)</w:t>
      </w:r>
      <w:r>
        <w:rPr/>
        <w:t xml:space="preserve">RCW </w:t>
      </w:r>
      <w:r>
        <w:t xml:space="preserve">50B</w:t>
      </w:r>
      <w:r>
        <w:rPr/>
        <w:t xml:space="preserve">.</w:t>
      </w:r>
      <w:r>
        <w:t xml:space="preserve">04</w:t>
      </w:r>
      <w:r>
        <w:rPr/>
        <w:t xml:space="preserve">.</w:t>
      </w:r>
      <w:r>
        <w:t xml:space="preserve">900</w:t>
      </w:r>
      <w:r>
        <w:rPr/>
        <w:t xml:space="preserve"> (Findings</w:t>
      </w:r>
      <w:r>
        <w:rPr>
          <w:rFonts w:ascii="Times New Roman" w:hAnsi="Times New Roman"/>
        </w:rPr>
        <w:t xml:space="preserve">—</w:t>
      </w:r>
      <w:r>
        <w:rPr/>
        <w:t xml:space="preserve">2019 c 363) and 2019 c 363 s 1; and</w:t>
      </w:r>
    </w:p>
    <w:p>
      <w:pPr>
        <w:spacing w:before="0" w:after="0" w:line="408" w:lineRule="exact"/>
        <w:ind w:left="0" w:right="0" w:firstLine="576"/>
        <w:jc w:val="left"/>
      </w:pPr>
      <w:r>
        <w:rPr/>
        <w:t xml:space="preserve">(20) RCW 50B.04.--- and 2022 c 2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2(8) of this act applies retroactively to January 1, 2022, as well as prospectively.</w:t>
      </w:r>
    </w:p>
    <w:p/>
    <w:p>
      <w:pPr>
        <w:jc w:val="center"/>
      </w:pPr>
      <w:r>
        <w:rPr>
          <w:b/>
        </w:rPr>
        <w:t>--- END ---</w:t>
      </w:r>
    </w:p>
    <w:sectPr>
      <w:pgNumType w:start="1"/>
      <w:footerReference xmlns:r="http://schemas.openxmlformats.org/officeDocument/2006/relationships" r:id="R69e36e4de749479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57f4eccfd14c33" /><Relationship Type="http://schemas.openxmlformats.org/officeDocument/2006/relationships/footer" Target="/word/footer1.xml" Id="R69e36e4de7494791" /></Relationships>
</file>