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59ccba22ba479a" /></Relationships>
</file>

<file path=word/document.xml><?xml version="1.0" encoding="utf-8"?>
<w:document xmlns:w="http://schemas.openxmlformats.org/wordprocessingml/2006/main">
  <w:body>
    <w:p>
      <w:r>
        <w:t>S-4020.1</w:t>
      </w:r>
    </w:p>
    <w:p>
      <w:pPr>
        <w:jc w:val="center"/>
      </w:pPr>
      <w:r>
        <w:t>_______________________________________________</w:t>
      </w:r>
    </w:p>
    <w:p/>
    <w:p>
      <w:pPr>
        <w:jc w:val="center"/>
      </w:pPr>
      <w:r>
        <w:rPr>
          <w:b/>
        </w:rPr>
        <w:t>SENATE BILL 5959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 Wilson, Braun, Dozier, and J. Wilson</w:t>
      </w:r>
    </w:p>
    <w:p/>
    <w:p>
      <w:r>
        <w:rPr>
          <w:t xml:space="preserve">Read first time 01/28/22.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financial stability and solvency of the family and medical leave insurance account; amending RCW 44.44.040, 50A.05.070, 50A.10.030, 50A.25.070, and 69.50.540; adding a new section to chapter 50A.05 RCW; making an appropriation;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44</w:t>
      </w:r>
      <w:r>
        <w:rPr/>
        <w:t xml:space="preserve">.</w:t>
      </w:r>
      <w:r>
        <w:t xml:space="preserve">040</w:t>
      </w:r>
      <w:r>
        <w:rPr/>
        <w:t xml:space="preserve"> and 2019 c 363 s 22 are each amended to read as follows:</w:t>
      </w:r>
    </w:p>
    <w:p>
      <w:pPr>
        <w:spacing w:before="0" w:after="0" w:line="408" w:lineRule="exact"/>
        <w:ind w:left="0" w:right="0" w:firstLine="576"/>
        <w:jc w:val="left"/>
      </w:pPr>
      <w:r>
        <w:rPr/>
        <w:t xml:space="preserve">The office of the state actuary shall have the following powers and duties:</w:t>
      </w:r>
    </w:p>
    <w:p>
      <w:pPr>
        <w:spacing w:before="0" w:after="0" w:line="408" w:lineRule="exact"/>
        <w:ind w:left="0" w:right="0" w:firstLine="576"/>
        <w:jc w:val="left"/>
      </w:pPr>
      <w:r>
        <w:rPr/>
        <w:t xml:space="preserve">(1) Perform all actuarial services for the department of retirement systems, including all studies required by law.</w:t>
      </w:r>
    </w:p>
    <w:p>
      <w:pPr>
        <w:spacing w:before="0" w:after="0" w:line="408" w:lineRule="exact"/>
        <w:ind w:left="0" w:right="0" w:firstLine="576"/>
        <w:jc w:val="left"/>
      </w:pPr>
      <w:r>
        <w:rPr/>
        <w:t xml:space="preserve">(2) Advise the legislature and the governor regarding pension benefit provisions, and funding policies and investment policies of the state investment board.</w:t>
      </w:r>
    </w:p>
    <w:p>
      <w:pPr>
        <w:spacing w:before="0" w:after="0" w:line="408" w:lineRule="exact"/>
        <w:ind w:left="0" w:right="0" w:firstLine="576"/>
        <w:jc w:val="left"/>
      </w:pPr>
      <w:r>
        <w:rPr/>
        <w:t xml:space="preserve">(3) Consult with the legislature and the governor concerning determination of actuarial assumptions used by the department of retirement systems.</w:t>
      </w:r>
    </w:p>
    <w:p>
      <w:pPr>
        <w:spacing w:before="0" w:after="0" w:line="408" w:lineRule="exact"/>
        <w:ind w:left="0" w:right="0" w:firstLine="576"/>
        <w:jc w:val="left"/>
      </w:pPr>
      <w:r>
        <w:rPr/>
        <w:t xml:space="preserve">(4) Prepare a report, to be known as the actuarial fiscal note, on each pension bill introduced in the legislature which briefly explains the financial impact of the bill. The actuarial fiscal note shall include: (a) The statutorily required contribution for the biennium and the following twenty-five years; (b) the biennial cost of the increased benefits if these exceed the required contribution; and (c) any change in the present value of the unfunded accrued benefits. An actuarial fiscal note shall also be prepared for all amendments which are offered in committee or on the floor of the house of representatives or the senate to any pension bill. However, a majority of the members present may suspend the requirement for an actuarial fiscal note for amendments offered on the floor of the house of representatives or the senate.</w:t>
      </w:r>
    </w:p>
    <w:p>
      <w:pPr>
        <w:spacing w:before="0" w:after="0" w:line="408" w:lineRule="exact"/>
        <w:ind w:left="0" w:right="0" w:firstLine="576"/>
        <w:jc w:val="left"/>
      </w:pPr>
      <w:r>
        <w:rPr/>
        <w:t xml:space="preserve">(5) Provide such actuarial services to the legislature as may be requested from time to time.</w:t>
      </w:r>
    </w:p>
    <w:p>
      <w:pPr>
        <w:spacing w:before="0" w:after="0" w:line="408" w:lineRule="exact"/>
        <w:ind w:left="0" w:right="0" w:firstLine="576"/>
        <w:jc w:val="left"/>
      </w:pPr>
      <w:r>
        <w:rPr/>
        <w:t xml:space="preserve">(6) Provide staff and assistance to the committee established under RCW 41.04.276.</w:t>
      </w:r>
    </w:p>
    <w:p>
      <w:pPr>
        <w:spacing w:before="0" w:after="0" w:line="408" w:lineRule="exact"/>
        <w:ind w:left="0" w:right="0" w:firstLine="576"/>
        <w:jc w:val="left"/>
      </w:pPr>
      <w:r>
        <w:rPr/>
        <w:t xml:space="preserve">(7) Provide actuarial assistance to the law enforcement officers' and firefighters' plan 2 retirement board as provided in chapter 2, Laws of 2003. Reimbursement for services shall be made to the state actuary under RCW 39.34.130 and section 5(5), chapter 2, Laws of 2003.</w:t>
      </w:r>
    </w:p>
    <w:p>
      <w:pPr>
        <w:spacing w:before="0" w:after="0" w:line="408" w:lineRule="exact"/>
        <w:ind w:left="0" w:right="0" w:firstLine="576"/>
        <w:jc w:val="left"/>
      </w:pPr>
      <w:r>
        <w:rPr/>
        <w:t xml:space="preserve">(8) Provide actuarial assistance to the committee on advanced tuition payment pursuant to chapter 28B.95 RCW, including recommending a tuition unit price to the committee on advanced tuition payment to be used in the ensuing enrollment period. Reimbursement for services shall be made to the state actuary under RCW 39.34.130.</w:t>
      </w:r>
    </w:p>
    <w:p>
      <w:pPr>
        <w:spacing w:before="0" w:after="0" w:line="408" w:lineRule="exact"/>
        <w:ind w:left="0" w:right="0" w:firstLine="576"/>
        <w:jc w:val="left"/>
      </w:pPr>
      <w:r>
        <w:rPr/>
        <w:t xml:space="preserve">(9) Provide actuarial assistance to the long-term services and supports trust commission pursuant to chapter 50B.04 RCW. Reimbursement for services shall be made to the state actuary under RCW 39.34.130.</w:t>
      </w:r>
    </w:p>
    <w:p>
      <w:pPr>
        <w:spacing w:before="0" w:after="0" w:line="408" w:lineRule="exact"/>
        <w:ind w:left="0" w:right="0" w:firstLine="576"/>
        <w:jc w:val="left"/>
      </w:pPr>
      <w:r>
        <w:rPr>
          <w:u w:val="single"/>
        </w:rPr>
        <w:t xml:space="preserve">(10) Provide actuarial assistance to the employment security department related to the family and medical leave program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must coordinate with the office of the state actuary, created in RCW 44.44.010, to perform actuarial services for the department regarding the financial stability and solvency of the family and medical leave program, and specifically the family and medical leave insurance account created in RCW 50A.05.070.</w:t>
      </w:r>
    </w:p>
    <w:p>
      <w:pPr>
        <w:spacing w:before="0" w:after="0" w:line="408" w:lineRule="exact"/>
        <w:ind w:left="0" w:right="0" w:firstLine="576"/>
        <w:jc w:val="left"/>
      </w:pPr>
      <w:r>
        <w:rPr/>
        <w:t xml:space="preserve">(2) By December 1, 2023, and biennially until 2028, when the reporting frequency must occur every five years, the office of the state actuary must:</w:t>
      </w:r>
    </w:p>
    <w:p>
      <w:pPr>
        <w:spacing w:before="0" w:after="0" w:line="408" w:lineRule="exact"/>
        <w:ind w:left="0" w:right="0" w:firstLine="576"/>
        <w:jc w:val="left"/>
      </w:pPr>
      <w:r>
        <w:rPr/>
        <w:t xml:space="preserve">(a) Review the premiums and solvency surcharge formulas under RCW 50A.10.030 to determine if the rates are sufficient to maintain financial stability and program solvency, and to establish a program reserve in the family and medical leave insurance account. Additional or more frequent analysis may be performed at the request of the advisory committee, created in RCW 50A.05.030, or the legislature;</w:t>
      </w:r>
    </w:p>
    <w:p>
      <w:pPr>
        <w:spacing w:before="0" w:after="0" w:line="408" w:lineRule="exact"/>
        <w:ind w:left="0" w:right="0" w:firstLine="576"/>
        <w:jc w:val="left"/>
      </w:pPr>
      <w:r>
        <w:rPr/>
        <w:t xml:space="preserve">(b) Make recommendations to the advisory committee, the department, and the appropriate committees of the legislature regarding the premiums and solvency surcharge required by RCW 50A.10.030 and the financial stability and solvency of the family and medical leave insurance account, which may include recommendations or options to modify the provisions of chapter 50A.10 RCW; and</w:t>
      </w:r>
    </w:p>
    <w:p>
      <w:pPr>
        <w:spacing w:before="0" w:after="0" w:line="408" w:lineRule="exact"/>
        <w:ind w:left="0" w:right="0" w:firstLine="576"/>
        <w:jc w:val="left"/>
      </w:pPr>
      <w:r>
        <w:rPr/>
        <w:t xml:space="preserve">(c) Select and contract for such actuarial, technical, and other consultants as the state actuary deems necessary to perform its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070</w:t>
      </w:r>
      <w:r>
        <w:rPr/>
        <w:t xml:space="preserve"> and 2020 c 86 s 5 are each amended to read as follows:</w:t>
      </w:r>
    </w:p>
    <w:p>
      <w:pPr>
        <w:spacing w:before="0" w:after="0" w:line="408" w:lineRule="exact"/>
        <w:ind w:left="0" w:right="0" w:firstLine="576"/>
        <w:jc w:val="left"/>
      </w:pPr>
      <w:r>
        <w:rPr/>
        <w:t xml:space="preserve">(1) The family and medical leave insurance account is created in the custody of the state treasurer. All receipts from premiums imposed under this title must be deposited in the account. </w:t>
      </w:r>
      <w:r>
        <w:rPr>
          <w:u w:val="single"/>
        </w:rPr>
        <w:t xml:space="preserve">Revenue to the account also may include appropriations and transfers by the legislature and all other funding directed for deposit into the account.</w:t>
      </w:r>
      <w:r>
        <w:rPr/>
        <w:t xml:space="preserve"> Expenditures from the account may be used only for the purposes of the family and medical leave program</w:t>
      </w:r>
      <w:r>
        <w:rPr>
          <w:u w:val="single"/>
        </w:rPr>
        <w:t xml:space="preserve">, including the office of the state actuary expenses to assist the department</w:t>
      </w:r>
      <w:r>
        <w:rPr/>
        <w:t xml:space="preserve">. Only the commissioner or the commissioner's designee may authorize expenditures from the account. The account is subject to the allotment procedures under chapter 43.88 RCW. An appropriation is required for administrative expenses, but not for benefit payments.</w:t>
      </w:r>
    </w:p>
    <w:p>
      <w:pPr>
        <w:spacing w:before="0" w:after="0" w:line="408" w:lineRule="exact"/>
        <w:ind w:left="0" w:right="0" w:firstLine="576"/>
        <w:jc w:val="left"/>
      </w:pPr>
      <w:r>
        <w:rPr/>
        <w:t xml:space="preserve">(2) Money deposited in the account shall remain a part of the account until expended pursuant to the requirements of this title or transferred in accordance with subsection (3) of this section. The commissioner shall maintain a separate record of the deposit, obligation, expenditure, and return of funds so deposited. Any money so deposited which either will not be obligated within the period specified by the appropriations act or remains unobligated at the end of the period, and any money which has been obligated within the period but will not be expended, shall be returned promptly to the family and medical leave insurance account.</w:t>
      </w:r>
    </w:p>
    <w:p>
      <w:pPr>
        <w:spacing w:before="0" w:after="0" w:line="408" w:lineRule="exact"/>
        <w:ind w:left="0" w:right="0" w:firstLine="576"/>
        <w:jc w:val="left"/>
      </w:pPr>
      <w:r>
        <w:rPr/>
        <w:t xml:space="preserve">(3) Money shall be transferred from the family and medical leave insurance account and deposited in the unemployment trust fund solely for the repayment of benefits not charged to employers as defined in RCW 50.29.021(3)(a)(vii). The commissioner shall direct the transfer, which must occur on or before the cut-off date as defined in RCW 50.29.010.</w:t>
      </w:r>
    </w:p>
    <w:p>
      <w:pPr>
        <w:spacing w:before="0" w:after="0" w:line="408" w:lineRule="exact"/>
        <w:ind w:left="0" w:right="0" w:firstLine="576"/>
        <w:jc w:val="left"/>
      </w:pPr>
      <w:r>
        <w:rPr/>
        <w:t xml:space="preserve">(4) Money transferred as provided in subsection (3) of this section for the repayment of benefits not charged to employers shall be deposited in the unemployment compensation fund and shall remain a part of the unemployment compensation fund until expended pursuant to RCW 50.16.030. The commissioner shall maintain a separate record of the deposit, obligation, expenditure, and return of funds so deposited. Any money so deposited which either will not be obligated within the period specified by the appropriation law or remains unobligated at the end of the period, and any money which has been obligated within the period but will not be expended, shall be returned promptly to the account of this state in the unemployment trust fund.</w:t>
      </w:r>
    </w:p>
    <w:p>
      <w:pPr>
        <w:spacing w:before="0" w:after="0" w:line="408" w:lineRule="exact"/>
        <w:ind w:left="0" w:right="0" w:firstLine="576"/>
        <w:jc w:val="left"/>
      </w:pPr>
      <w:r>
        <w:rPr>
          <w:u w:val="single"/>
        </w:rPr>
        <w:t xml:space="preserve">(5) By January 31st of each fiscal year, the commissioner must deposit into the state basic health plan trust account created in RCW 70.47.030 any moneys appropriated from the dedicated marijuana account to the family and medical leave insurance account that exceeds the amount required to eliminate the solvency surcharge in RCW 50A.10.030(7).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030</w:t>
      </w:r>
      <w:r>
        <w:rPr/>
        <w:t xml:space="preserve"> and 2019 c 13 s 21 are each amended to read as follows:</w:t>
      </w:r>
    </w:p>
    <w:p>
      <w:pPr>
        <w:spacing w:before="0" w:after="0" w:line="408" w:lineRule="exact"/>
        <w:ind w:left="0" w:right="0" w:firstLine="576"/>
        <w:jc w:val="left"/>
      </w:pPr>
      <w:r>
        <w:rPr/>
        <w:t xml:space="preserve">(1)(a) Beginning January 1, 2019, the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rPr/>
        <w:t xml:space="preserve">(b) The premium rate for family leave benefits shall be equal to one-third of the total premium rate.</w:t>
      </w:r>
    </w:p>
    <w:p>
      <w:pPr>
        <w:spacing w:before="0" w:after="0" w:line="408" w:lineRule="exact"/>
        <w:ind w:left="0" w:right="0" w:firstLine="576"/>
        <w:jc w:val="left"/>
      </w:pPr>
      <w:r>
        <w:rPr/>
        <w:t xml:space="preserve">(c) The premium rate for medical leave benefits shall be equal to two-thirds of the total premium rate.</w:t>
      </w:r>
    </w:p>
    <w:p>
      <w:pPr>
        <w:spacing w:before="0" w:after="0" w:line="408" w:lineRule="exact"/>
        <w:ind w:left="0" w:right="0" w:firstLine="576"/>
        <w:jc w:val="left"/>
      </w:pPr>
      <w:r>
        <w:rPr/>
        <w:t xml:space="preserve">(2) For calendar year 2022 and thereafter, the commissioner shall determine the percentage of paid claims related to family leave benefits and the percentage of paid claims related to medical leave benefits and adjust the premium rates set in subsection (1)(b) and (c) of this section by the proportional share of paid claims.</w:t>
      </w:r>
    </w:p>
    <w:p>
      <w:pPr>
        <w:spacing w:before="0" w:after="0" w:line="408" w:lineRule="exact"/>
        <w:ind w:left="0" w:right="0" w:firstLine="576"/>
        <w:jc w:val="left"/>
      </w:pPr>
      <w:r>
        <w:rPr/>
        <w:t xml:space="preserve">(3)(a) Beginning January 1, 2019, and ending December 31, 2020, the total premium rate shall be four-tenths of one percent of the individual's wages subject to subsection (4) of this section.</w:t>
      </w:r>
    </w:p>
    <w:p>
      <w:pPr>
        <w:spacing w:before="0" w:after="0" w:line="408" w:lineRule="exact"/>
        <w:ind w:left="0" w:right="0" w:firstLine="576"/>
        <w:jc w:val="left"/>
      </w:pPr>
      <w:r>
        <w:rPr/>
        <w:t xml:space="preserve">(b) For family leave premiums, an employer may deduct from the wages of each employee up to the full amount of the premium required.</w:t>
      </w:r>
    </w:p>
    <w:p>
      <w:pPr>
        <w:spacing w:before="0" w:after="0" w:line="408" w:lineRule="exact"/>
        <w:ind w:left="0" w:right="0" w:firstLine="576"/>
        <w:jc w:val="left"/>
      </w:pPr>
      <w:r>
        <w:rPr/>
        <w:t xml:space="preserve">(c) For medical leave premiums, an employer may deduct from the wages of each employee up to forty-five percent of the full amount of the premium required.</w:t>
      </w:r>
    </w:p>
    <w:p>
      <w:pPr>
        <w:spacing w:before="0" w:after="0" w:line="408" w:lineRule="exact"/>
        <w:ind w:left="0" w:right="0" w:firstLine="576"/>
        <w:jc w:val="left"/>
      </w:pPr>
      <w:r>
        <w:rPr/>
        <w:t xml:space="preserve">(d)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fifty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fifty employees elects to pay the premiums, the employer is then eligible for assistance under RCW 50A.24.010.</w:t>
      </w:r>
    </w:p>
    <w:p>
      <w:pPr>
        <w:spacing w:before="0" w:after="0" w:line="408" w:lineRule="exact"/>
        <w:ind w:left="0" w:right="0" w:firstLine="576"/>
        <w:jc w:val="left"/>
      </w:pPr>
      <w:r>
        <w:rPr/>
        <w:t xml:space="preserve">(6) For calendar year 2021 and thereafter, the total premium rate shall be based on the family and medical leave insurance account balance ratio as of September 30th of the previous year. The commissioner shall calculate the account balance ratio by dividing the balance of the family and medical leave insurance account by total covered wages paid by employers and those electing coverage. The division shall be carried to the fourth decimal place with the remaining fraction disregarded unless it amounts to five hundred-thousandths or more, in which case the fourth decimal place shall be rounded to the next higher digit. If the account balance ratio is:</w:t>
      </w:r>
    </w:p>
    <w:p>
      <w:pPr>
        <w:spacing w:before="0" w:after="0" w:line="408" w:lineRule="exact"/>
        <w:ind w:left="0" w:right="0" w:firstLine="576"/>
        <w:jc w:val="left"/>
      </w:pPr>
      <w:r>
        <w:rPr/>
        <w:t xml:space="preserve">(a) Zero to nine hundredths of one percent, the premium is six tenths of one percent of the individual's wages;</w:t>
      </w:r>
    </w:p>
    <w:p>
      <w:pPr>
        <w:spacing w:before="0" w:after="0" w:line="408" w:lineRule="exact"/>
        <w:ind w:left="0" w:right="0" w:firstLine="576"/>
        <w:jc w:val="left"/>
      </w:pPr>
      <w:r>
        <w:rPr/>
        <w:t xml:space="preserve">(b) One tenth of one percent to nineteen hundredths of one percent, the premium is five tenths of one percent of the individual's wages;</w:t>
      </w:r>
    </w:p>
    <w:p>
      <w:pPr>
        <w:spacing w:before="0" w:after="0" w:line="408" w:lineRule="exact"/>
        <w:ind w:left="0" w:right="0" w:firstLine="576"/>
        <w:jc w:val="left"/>
      </w:pPr>
      <w:r>
        <w:rPr/>
        <w:t xml:space="preserve">(c) Two tenths of one percent to twenty-nine hundredths of one percent, the premium is four tenths of one percent of the individual's wages;</w:t>
      </w:r>
    </w:p>
    <w:p>
      <w:pPr>
        <w:spacing w:before="0" w:after="0" w:line="408" w:lineRule="exact"/>
        <w:ind w:left="0" w:right="0" w:firstLine="576"/>
        <w:jc w:val="left"/>
      </w:pPr>
      <w:r>
        <w:rPr/>
        <w:t xml:space="preserve">(d) Three tenths of one percent to thirty-nine hundredths of one percent, the premium is three tenths of one percent of the individual's wages;</w:t>
      </w:r>
    </w:p>
    <w:p>
      <w:pPr>
        <w:spacing w:before="0" w:after="0" w:line="408" w:lineRule="exact"/>
        <w:ind w:left="0" w:right="0" w:firstLine="576"/>
        <w:jc w:val="left"/>
      </w:pPr>
      <w:r>
        <w:rPr/>
        <w:t xml:space="preserve">(e) Four tenths of one percent to forty-nine hundredths of one percent, the premium is two tenths of one percent of the individual's wages; or</w:t>
      </w:r>
    </w:p>
    <w:p>
      <w:pPr>
        <w:spacing w:before="0" w:after="0" w:line="408" w:lineRule="exact"/>
        <w:ind w:left="0" w:right="0" w:firstLine="576"/>
        <w:jc w:val="left"/>
      </w:pPr>
      <w:r>
        <w:rPr/>
        <w:t xml:space="preserve">(f) Five tenths of one percent or greater, the premium is one tenth of one percent of the individual's wages.</w:t>
      </w:r>
    </w:p>
    <w:p>
      <w:pPr>
        <w:spacing w:before="0" w:after="0" w:line="408" w:lineRule="exact"/>
        <w:ind w:left="0" w:right="0" w:firstLine="576"/>
        <w:jc w:val="left"/>
      </w:pPr>
      <w:r>
        <w:rPr/>
        <w:t xml:space="preserve">(7)</w:t>
      </w:r>
      <w:r>
        <w:rPr>
          <w:u w:val="single"/>
        </w:rPr>
        <w:t xml:space="preserve">(a)</w:t>
      </w:r>
      <w:r>
        <w:rPr/>
        <w:t xml:space="preserve"> Beginning January 1, 2021, if the account balance ratio calculated in subsection (6) of this section is below five hundredths of one percent, the commissioner must assess a solvency surcharge at the lowest rate necessary to provide revenue to pay for the administrative and benefit costs of family and medical leave, for the calendar year, as determined by the commissioner. The solvency surcharge shall be at least one-tenth of one percent and no more than six-tenths of one percent and be added to the total premium rate for family and medical leave benefits.</w:t>
      </w:r>
    </w:p>
    <w:p>
      <w:pPr>
        <w:spacing w:before="0" w:after="0" w:line="408" w:lineRule="exact"/>
        <w:ind w:left="0" w:right="0" w:firstLine="576"/>
        <w:jc w:val="left"/>
      </w:pPr>
      <w:r>
        <w:rPr>
          <w:u w:val="single"/>
        </w:rPr>
        <w:t xml:space="preserve">(b) If the commissioner determines that the solvency surcharge must be assessed pursuant to (a) of this subsection, the commissioner must use moneys appropriated from the dedicated marijuana account to the family and medical leave insurance account to eliminate the solvency surcharge, or if the appropriation is insufficient, to further reduce the solvency surcharge to the lowest rate possible with the amount appropriated.</w:t>
      </w:r>
    </w:p>
    <w:p>
      <w:pPr>
        <w:spacing w:before="0" w:after="0" w:line="408" w:lineRule="exact"/>
        <w:ind w:left="0" w:right="0" w:firstLine="576"/>
        <w:jc w:val="left"/>
      </w:pPr>
      <w:r>
        <w:rPr/>
        <w:t xml:space="preserve">(8)(a) The employer must collect from the employees the premiums and any surcharges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title.</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this section and RCW 50A.24.010.</w:t>
      </w:r>
    </w:p>
    <w:p>
      <w:pPr>
        <w:spacing w:before="0" w:after="0" w:line="408" w:lineRule="exact"/>
        <w:ind w:left="0" w:right="0" w:firstLine="576"/>
        <w:jc w:val="left"/>
      </w:pPr>
      <w:r>
        <w:rPr/>
        <w:t xml:space="preserve">(9) Premiums shall be collected in the manner and at such intervals as provided in this title and directed by the department.</w:t>
      </w:r>
    </w:p>
    <w:p>
      <w:pPr>
        <w:spacing w:before="0" w:after="0" w:line="408" w:lineRule="exact"/>
        <w:ind w:left="0" w:right="0" w:firstLine="576"/>
        <w:jc w:val="left"/>
      </w:pPr>
      <w:r>
        <w:rPr/>
        <w:t xml:space="preserve">(10) Premiums collected under this section are placed in trust for the employees and employers that the program is intended to assist.</w:t>
      </w:r>
    </w:p>
    <w:p>
      <w:pPr>
        <w:spacing w:before="0" w:after="0" w:line="408" w:lineRule="exact"/>
        <w:ind w:left="0" w:right="0" w:firstLine="576"/>
        <w:jc w:val="left"/>
      </w:pPr>
      <w:r>
        <w:rPr/>
        <w:t xml:space="preserve">(11)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title for any private employer;</w:t>
      </w:r>
    </w:p>
    <w:p>
      <w:pPr>
        <w:spacing w:before="0" w:after="0" w:line="408" w:lineRule="exact"/>
        <w:ind w:left="0" w:right="0" w:firstLine="576"/>
        <w:jc w:val="left"/>
      </w:pPr>
      <w:r>
        <w:rPr/>
        <w:t xml:space="preserve">(b) Providing for local enforcement of the provisions of this title; or</w:t>
      </w:r>
    </w:p>
    <w:p>
      <w:pPr>
        <w:spacing w:before="0" w:after="0" w:line="408" w:lineRule="exact"/>
        <w:ind w:left="0" w:right="0" w:firstLine="576"/>
        <w:jc w:val="left"/>
      </w:pPr>
      <w:r>
        <w:rPr/>
        <w:t xml:space="preserve">(c) Requiring private employers to supplement duration of leave or amount of wage replacement benefits provided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070</w:t>
      </w:r>
      <w:r>
        <w:rPr/>
        <w:t xml:space="preserve"> and 2020 c 125 s 8 are each amended to read as follows:</w:t>
      </w:r>
    </w:p>
    <w:p>
      <w:pPr>
        <w:spacing w:before="0" w:after="0" w:line="408" w:lineRule="exact"/>
        <w:ind w:left="0" w:right="0" w:firstLine="576"/>
        <w:jc w:val="left"/>
      </w:pPr>
      <w:r>
        <w:rPr/>
        <w:t xml:space="preserve">(1) The department may enter into data-sharing contracts and may disclose records and information deemed confidential to state or local government agencies under this chapter only if permitted under subsection (2) of this section and RCW 50A.25.090. A state or local government agency must need the records or information for an official purpose and must also provide:</w:t>
      </w:r>
    </w:p>
    <w:p>
      <w:pPr>
        <w:spacing w:before="0" w:after="0" w:line="408" w:lineRule="exact"/>
        <w:ind w:left="0" w:right="0" w:firstLine="576"/>
        <w:jc w:val="left"/>
      </w:pPr>
      <w:r>
        <w:rPr/>
        <w:t xml:space="preserve">(a) An application in writing to the department for the records or information containing a statement of the official purposes for which the state or local government agency needs the information or records and specifically identify the records or information sought from the department; and</w:t>
      </w:r>
    </w:p>
    <w:p>
      <w:pPr>
        <w:spacing w:before="0" w:after="0" w:line="408" w:lineRule="exact"/>
        <w:ind w:left="0" w:right="0" w:firstLine="576"/>
        <w:jc w:val="left"/>
      </w:pPr>
      <w:r>
        <w:rPr/>
        <w:t xml:space="preserve">(b) A written verification of the need for the specific information from the director, commissioner, chief executive, or other official of the requesting state or local government agency either on the application or on a separate document.</w:t>
      </w:r>
    </w:p>
    <w:p>
      <w:pPr>
        <w:spacing w:before="0" w:after="0" w:line="408" w:lineRule="exact"/>
        <w:ind w:left="0" w:right="0" w:firstLine="576"/>
        <w:jc w:val="left"/>
      </w:pPr>
      <w:r>
        <w:rPr/>
        <w:t xml:space="preserve">(2) The department may disclose information or records deemed confidential under this chapter to the following state or local government agencies:</w:t>
      </w:r>
    </w:p>
    <w:p>
      <w:pPr>
        <w:spacing w:before="0" w:after="0" w:line="408" w:lineRule="exact"/>
        <w:ind w:left="0" w:right="0" w:firstLine="576"/>
        <w:jc w:val="left"/>
      </w:pPr>
      <w:r>
        <w:rPr/>
        <w:t xml:space="preserve">(a) To the department of social and health services to identify child support obligations as defined in RCW 50A.15.080;</w:t>
      </w:r>
    </w:p>
    <w:p>
      <w:pPr>
        <w:spacing w:before="0" w:after="0" w:line="408" w:lineRule="exact"/>
        <w:ind w:left="0" w:right="0" w:firstLine="576"/>
        <w:jc w:val="left"/>
      </w:pPr>
      <w:r>
        <w:rPr/>
        <w:t xml:space="preserve">(b) To the department of revenue to determine potential tax liability or employer compliance with registration and licensing requirements;</w:t>
      </w:r>
    </w:p>
    <w:p>
      <w:pPr>
        <w:spacing w:before="0" w:after="0" w:line="408" w:lineRule="exact"/>
        <w:ind w:left="0" w:right="0" w:firstLine="576"/>
        <w:jc w:val="left"/>
      </w:pPr>
      <w:r>
        <w:rPr/>
        <w:t xml:space="preserve">(c) To the department of labor and industries to compare records or information to detect improper or fraudulent claims;</w:t>
      </w:r>
    </w:p>
    <w:p>
      <w:pPr>
        <w:spacing w:before="0" w:after="0" w:line="408" w:lineRule="exact"/>
        <w:ind w:left="0" w:right="0" w:firstLine="576"/>
        <w:jc w:val="left"/>
      </w:pPr>
      <w:r>
        <w:rPr/>
        <w:t xml:space="preserve">(d) To the office of financial management for the purpose of conducting periodic salary or fringe benefit studies pursuant to law;</w:t>
      </w:r>
    </w:p>
    <w:p>
      <w:pPr>
        <w:spacing w:before="0" w:after="0" w:line="408" w:lineRule="exact"/>
        <w:ind w:left="0" w:right="0" w:firstLine="576"/>
        <w:jc w:val="left"/>
      </w:pPr>
      <w:r>
        <w:rPr/>
        <w:t xml:space="preserve">(e) To the office of the state treasurer and any financial or banking institutions deemed necessary by the office of the state treasurer and the department for the proper administration of funds;</w:t>
      </w:r>
    </w:p>
    <w:p>
      <w:pPr>
        <w:spacing w:before="0" w:after="0" w:line="408" w:lineRule="exact"/>
        <w:ind w:left="0" w:right="0" w:firstLine="576"/>
        <w:jc w:val="left"/>
      </w:pPr>
      <w:r>
        <w:rPr/>
        <w:t xml:space="preserve">(f) To the office of the attorney general for purposes of legal representation;</w:t>
      </w:r>
    </w:p>
    <w:p>
      <w:pPr>
        <w:spacing w:before="0" w:after="0" w:line="408" w:lineRule="exact"/>
        <w:ind w:left="0" w:right="0" w:firstLine="576"/>
        <w:jc w:val="left"/>
      </w:pPr>
      <w:r>
        <w:rPr/>
        <w:t xml:space="preserve">(g) To a county clerk for the purpose of RCW 9.94A.760 if requested by the county clerk's office;</w:t>
      </w:r>
    </w:p>
    <w:p>
      <w:pPr>
        <w:spacing w:before="0" w:after="0" w:line="408" w:lineRule="exact"/>
        <w:ind w:left="0" w:right="0" w:firstLine="576"/>
        <w:jc w:val="left"/>
      </w:pPr>
      <w:r>
        <w:rPr/>
        <w:t xml:space="preserve">(h) To the office of administrative hearings for the purpose of administering the administrative appeal process;</w:t>
      </w:r>
    </w:p>
    <w:p>
      <w:pPr>
        <w:spacing w:before="0" w:after="0" w:line="408" w:lineRule="exact"/>
        <w:ind w:left="0" w:right="0" w:firstLine="576"/>
        <w:jc w:val="left"/>
      </w:pPr>
      <w:r>
        <w:rPr/>
        <w:t xml:space="preserve">(i) To the department of enterprise services for the purpose of agency administration and operations; </w:t>
      </w:r>
      <w:r>
        <w:t>((</w:t>
      </w:r>
      <w:r>
        <w:rPr>
          <w:strike/>
        </w:rPr>
        <w:t xml:space="preserve">and</w:t>
      </w:r>
      <w:r>
        <w:t>))</w:t>
      </w:r>
    </w:p>
    <w:p>
      <w:pPr>
        <w:spacing w:before="0" w:after="0" w:line="408" w:lineRule="exact"/>
        <w:ind w:left="0" w:right="0" w:firstLine="576"/>
        <w:jc w:val="left"/>
      </w:pPr>
      <w:r>
        <w:rPr/>
        <w:t xml:space="preserve">(j) To the consolidated technology services agency for the purpose of enterprise technology support</w:t>
      </w:r>
      <w:r>
        <w:rPr>
          <w:u w:val="single"/>
        </w:rPr>
        <w:t xml:space="preserve">; and</w:t>
      </w:r>
    </w:p>
    <w:p>
      <w:pPr>
        <w:spacing w:before="0" w:after="0" w:line="408" w:lineRule="exact"/>
        <w:ind w:left="0" w:right="0" w:firstLine="576"/>
        <w:jc w:val="left"/>
      </w:pPr>
      <w:r>
        <w:rPr>
          <w:u w:val="single"/>
        </w:rPr>
        <w:t xml:space="preserve">(k) To the office of the state actuary for the purpose of performing actuarial services to assess the financial stability and solvency of the family and medical leave program, and specifically the family and medical leave insurance account created in RCW 50A.05.070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four hundred sixty-four thousand dollars for fiscal year 2021, two hundred seventy thousand dollars in fiscal year 2022, and two hundred seventy-six thousand dollars in fiscal year 2023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each of fiscal years 2020 through 2023 to the department of health for the administration of the marijuana authorization database;</w:t>
      </w:r>
    </w:p>
    <w:p>
      <w:pPr>
        <w:spacing w:before="0" w:after="0" w:line="408" w:lineRule="exact"/>
        <w:ind w:left="0" w:right="0" w:firstLine="576"/>
        <w:jc w:val="left"/>
      </w:pPr>
      <w:r>
        <w:rPr/>
        <w:t xml:space="preserve">(h) Six hundred thirty-five thousand dollars for fiscal year 2020, six hundred thirty-five thousand dollars for fiscal year 2021, six hundred twenty-one thousand dollars for fiscal year 2022, and six hundred twenty-seven thousand dollars for fiscal year 2023 to the department of agriculture for compliance-based laboratory analysis of pesticides in marijuana;</w:t>
      </w:r>
    </w:p>
    <w:p>
      <w:pPr>
        <w:spacing w:before="0" w:after="0" w:line="408" w:lineRule="exact"/>
        <w:ind w:left="0" w:right="0" w:firstLine="576"/>
        <w:jc w:val="left"/>
      </w:pPr>
      <w:r>
        <w:rPr/>
        <w:t xml:space="preserve">(i) One million six hundred fifty thousand dollars for fiscal year 2022 and one million six hundred fifty thousand dollars for fiscal year 2023 to the department of commerce to fund the marijuana social equity technical assistance competitive grant program under RCW 43.330.540; and</w:t>
      </w:r>
    </w:p>
    <w:p>
      <w:pPr>
        <w:spacing w:before="0" w:after="0" w:line="408" w:lineRule="exact"/>
        <w:ind w:left="0" w:right="0" w:firstLine="576"/>
        <w:jc w:val="left"/>
      </w:pPr>
      <w:r>
        <w:rPr/>
        <w:t xml:space="preserve">(j) One hundred sixty-three thousand dollars for fiscal year 2022 and one hundred fifty-nine thousand dollars for fiscal year 2023 to the department of commerce to establish a roster of mentors as part of the cannabis social equity technical assistance grant program under </w:t>
      </w:r>
      <w:r>
        <w:t>((</w:t>
      </w:r>
      <w:r>
        <w:rPr>
          <w:strike/>
        </w:rPr>
        <w:t xml:space="preserve">Engrossed Substitute House Bill No. 1443 (cannabis industry/equity) [chapter 169, Laws of 2021]</w:t>
      </w:r>
      <w:r>
        <w:t>))</w:t>
      </w:r>
      <w:r>
        <w:rPr/>
        <w:t xml:space="preserve"> </w:t>
      </w:r>
      <w:r>
        <w:rPr>
          <w:u w:val="single"/>
        </w:rPr>
        <w:t xml:space="preserve">chapter 169, Laws of 2021</w:t>
      </w:r>
      <w:r>
        <w:rPr/>
        <w:t xml:space="preserve">; and</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t xml:space="preserve">(d) </w:t>
      </w:r>
      <w:r>
        <w:t>((</w:t>
      </w:r>
      <w:r>
        <w:rPr>
          <w:strike/>
        </w:rPr>
        <w:t xml:space="preserve">Fifty</w:t>
      </w:r>
      <w:r>
        <w:t>))</w:t>
      </w:r>
      <w:r>
        <w:rPr/>
        <w:t xml:space="preserve"> </w:t>
      </w:r>
      <w:r>
        <w:rPr>
          <w:u w:val="single"/>
        </w:rPr>
        <w:t xml:space="preserve">Except for fiscal years 2023 through 2028, 50</w:t>
      </w:r>
      <w:r>
        <w:rPr/>
        <w:t xml:space="preserve"> percent to the state basic health plan trust account to be administered by the Washington basic health plan administrator and used as provided under chapter 70.47 RCW</w:t>
      </w:r>
      <w:r>
        <w:rPr>
          <w:u w:val="single"/>
        </w:rPr>
        <w:t xml:space="preserve">. For fiscal years 2023 through 2028, 25 percent to the state basic health plan trust account to be administered by the Washington basic health plan administrator and used as provided under chapter 70.47 RCW</w:t>
      </w:r>
      <w:r>
        <w:rPr/>
        <w:t xml:space="preserve">;</w:t>
      </w:r>
    </w:p>
    <w:p>
      <w:pPr>
        <w:spacing w:before="0" w:after="0" w:line="408" w:lineRule="exact"/>
        <w:ind w:left="0" w:right="0" w:firstLine="576"/>
        <w:jc w:val="left"/>
      </w:pPr>
      <w:r>
        <w:rPr/>
        <w:t xml:space="preserve">(e) </w:t>
      </w:r>
      <w:r>
        <w:rPr>
          <w:u w:val="single"/>
        </w:rPr>
        <w:t xml:space="preserve">For fiscal years 2023 through 2028, 25 percent to the family and medical leave insurance account created in RCW 50A.05.070. Moneys appropriated pursuant to this subsection may not be transferred or expended into the family and medical leave insurance account until October 1st of each fiscal year;</w:t>
      </w:r>
    </w:p>
    <w:p>
      <w:pPr>
        <w:spacing w:before="0" w:after="0" w:line="408" w:lineRule="exact"/>
        <w:ind w:left="0" w:right="0" w:firstLine="576"/>
        <w:jc w:val="left"/>
      </w:pPr>
      <w:r>
        <w:rPr>
          <w:u w:val="single"/>
        </w:rPr>
        <w:t xml:space="preserve">(f)</w:t>
      </w:r>
      <w:r>
        <w:rPr/>
        <w:t xml:space="preserv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w:t>
      </w:r>
      <w:r>
        <w:t>((</w:t>
      </w:r>
      <w:r>
        <w:rPr>
          <w:strike/>
        </w:rPr>
        <w:t xml:space="preserve">(f)</w:t>
      </w:r>
      <w:r>
        <w:t>))</w:t>
      </w:r>
      <w:r>
        <w:rPr/>
        <w:t xml:space="preserve"> </w:t>
      </w:r>
      <w:r>
        <w:rPr>
          <w:u w:val="single"/>
        </w:rPr>
        <w:t xml:space="preserve">(g)</w:t>
      </w:r>
      <w:r>
        <w:rPr/>
        <w:t xml:space="preserve">;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At the end of each fiscal year, the treasurer must transfer any amounts in the dedicated marijuana account that are not appropriated pursuant to subsection (1) of this section and this subsection (2) into the general fund, except as provided in </w:t>
      </w:r>
      <w:r>
        <w:t>((</w:t>
      </w:r>
      <w:r>
        <w:rPr>
          <w:strike/>
        </w:rPr>
        <w:t xml:space="preserve">(g)</w:t>
      </w:r>
      <w:r>
        <w:t>))</w:t>
      </w:r>
      <w:r>
        <w:rPr/>
        <w:t xml:space="preserve"> </w:t>
      </w:r>
      <w:r>
        <w:rPr>
          <w:u w:val="single"/>
        </w:rPr>
        <w:t xml:space="preserve">(h)</w:t>
      </w:r>
      <w:r>
        <w:rPr/>
        <w:t xml:space="preserve">(i)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w:t>
      </w:r>
      <w:r>
        <w:t>((</w:t>
      </w:r>
      <w:r>
        <w:rPr>
          <w:strike/>
        </w:rPr>
        <w:t xml:space="preserve">(g)</w:t>
      </w:r>
      <w:r>
        <w:t>))</w:t>
      </w:r>
      <w:r>
        <w:rPr/>
        <w:t xml:space="preserve"> </w:t>
      </w:r>
      <w:r>
        <w:rPr>
          <w:u w:val="single"/>
        </w:rPr>
        <w:t xml:space="preserve">(h)</w:t>
      </w:r>
      <w:r>
        <w:rPr/>
        <w:t xml:space="preserve">(i)(A) based on the proportional share of the total revenues generated in the individual jurisdiction from the taxes collected under RCW 69.50.535, from licensed marijuana retailers physically located in each jurisdiction. For purposes of this subsection (2)</w:t>
      </w:r>
      <w:r>
        <w:t>((</w:t>
      </w:r>
      <w:r>
        <w:rPr>
          <w:strike/>
        </w:rPr>
        <w:t xml:space="preserve">(g)</w:t>
      </w:r>
      <w:r>
        <w:t>))</w:t>
      </w:r>
      <w:r>
        <w:rPr/>
        <w:t xml:space="preserve"> </w:t>
      </w:r>
      <w:r>
        <w:rPr>
          <w:u w:val="single"/>
        </w:rPr>
        <w:t xml:space="preserve">(h)</w:t>
      </w:r>
      <w:r>
        <w:rPr/>
        <w:t xml:space="preserve">(i)(A),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w:t>
      </w:r>
      <w:r>
        <w:t>((</w:t>
      </w:r>
      <w:r>
        <w:rPr>
          <w:strike/>
        </w:rPr>
        <w:t xml:space="preserve">(g)</w:t>
      </w:r>
      <w:r>
        <w:t>))</w:t>
      </w:r>
      <w:r>
        <w:rPr/>
        <w:t xml:space="preserve"> </w:t>
      </w:r>
      <w:r>
        <w:rPr>
          <w:u w:val="single"/>
        </w:rPr>
        <w:t xml:space="preserve">(h)</w:t>
      </w:r>
      <w:r>
        <w:rPr/>
        <w:t xml:space="preserve">(i) of this subsection (2).</w:t>
      </w:r>
    </w:p>
    <w:p>
      <w:pPr>
        <w:spacing w:before="0" w:after="0" w:line="408" w:lineRule="exact"/>
        <w:ind w:left="0" w:right="0" w:firstLine="576"/>
        <w:jc w:val="left"/>
      </w:pPr>
      <w:r>
        <w:rPr/>
        <w:t xml:space="preserve">(iv) The total share of marijuana excise tax revenues distributed to counties and cities in </w:t>
      </w:r>
      <w:r>
        <w:t>((</w:t>
      </w:r>
      <w:r>
        <w:rPr>
          <w:strike/>
        </w:rPr>
        <w:t xml:space="preserve">(g)</w:t>
      </w:r>
      <w:r>
        <w:t>))</w:t>
      </w:r>
      <w:r>
        <w:rPr/>
        <w:t xml:space="preserve"> </w:t>
      </w:r>
      <w:r>
        <w:rPr>
          <w:u w:val="single"/>
        </w:rPr>
        <w:t xml:space="preserve">(h)</w:t>
      </w:r>
      <w:r>
        <w:rPr/>
        <w:t xml:space="preserve">(i) of this subsection (2) may not exceed fifteen million dollars in fiscal years 2018, 2019, 2020, and 2021, and twenty million dollars per fiscal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$125,000,000 is appropriated for the fiscal year ending June 30, 2022, from the federal coronavirus state fiscal recovery fund for expenditure into the family and medical leave insurance account created in RCW 50A.05.070.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0e515293a3a48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9fa7e5e2a64674" /><Relationship Type="http://schemas.openxmlformats.org/officeDocument/2006/relationships/footer" Target="/word/footer1.xml" Id="Re0e515293a3a488e" /></Relationships>
</file>