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477fb7bd2948eb" /></Relationships>
</file>

<file path=word/document.xml><?xml version="1.0" encoding="utf-8"?>
<w:document xmlns:w="http://schemas.openxmlformats.org/wordprocessingml/2006/main">
  <w:body>
    <w:p>
      <w:r>
        <w:t>S-3484.1</w:t>
      </w:r>
    </w:p>
    <w:p>
      <w:pPr>
        <w:jc w:val="center"/>
      </w:pPr>
      <w:r>
        <w:t>_______________________________________________</w:t>
      </w:r>
    </w:p>
    <w:p/>
    <w:p>
      <w:pPr>
        <w:jc w:val="center"/>
      </w:pPr>
      <w:r>
        <w:rPr>
          <w:b/>
        </w:rPr>
        <w:t>SENATE BILL 5872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Brown, Short, Wagoner, and J. Wilson</w:t>
      </w:r>
    </w:p>
    <w:p/>
    <w:p>
      <w:r>
        <w:rPr>
          <w:t xml:space="preserve">Read first time 01/14/22.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that power plants that comply with the state greenhouse gas emissions performance standard are consistent with Washington's long-term policy for electricity; amending RCW 19.405.050 and 80.80.050;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European Union recently recognized that nuclear and natural gas power plants should be included in the European Union's taxonomy of environmentally sustainable activities and investments that will help the European Union attain its climate and energy goals. The legislature further finds that, like the European Union, Washington has set climate and energy goals that the state seeks to attain. These state goals include policies for the generation of electricity supplied to Washington customers. However, Washington's long-term policy for electricity discourages some sources of electric generation, even if those sources comply with the state greenhouse gas emissions performance standard for power plants. Therefore, the legislature finds that Washington should modify its long-term policy for electricity by recognizing that a broader variety of electric generation sources, such as natural gas, should be available to help the state meet its goals. To accomplish this, the legislature intends to establish that power plants that comply with the state's greenhouse gas emissions performance standard must be recognized as sources of electric generation that are consistent with the emissions reduction policy the state intends to achieve by 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050</w:t>
      </w:r>
      <w:r>
        <w:rPr/>
        <w:t xml:space="preserve"> and 2019 c 288 s 5 are each amended to read as follows:</w:t>
      </w:r>
    </w:p>
    <w:p>
      <w:pPr>
        <w:spacing w:before="0" w:after="0" w:line="408" w:lineRule="exact"/>
        <w:ind w:left="0" w:right="0" w:firstLine="576"/>
        <w:jc w:val="left"/>
      </w:pPr>
      <w:r>
        <w:rPr/>
        <w:t xml:space="preserve">(1) It is the policy of the state that nonemitting electric generation and electricity from renewable resources supply </w:t>
      </w:r>
      <w:r>
        <w:t>((</w:t>
      </w:r>
      <w:r>
        <w:rPr>
          <w:strike/>
        </w:rPr>
        <w:t xml:space="preserve">one hundred</w:t>
      </w:r>
      <w:r>
        <w:t>))</w:t>
      </w:r>
      <w:r>
        <w:rPr/>
        <w:t xml:space="preserve"> </w:t>
      </w:r>
      <w:r>
        <w:rPr>
          <w:u w:val="single"/>
        </w:rPr>
        <w:t xml:space="preserve">100</w:t>
      </w:r>
      <w:r>
        <w:rPr/>
        <w:t xml:space="preserve"> percent of all sales of electricity to Washington retail electric customers by January 1, 2045. By January 1, 2045, and each year thereafter, each electric utility must demonstrate its compliance with this standard using a combination of nonemitting electric generation and electricity from renewable resources.</w:t>
      </w:r>
    </w:p>
    <w:p>
      <w:pPr>
        <w:spacing w:before="0" w:after="0" w:line="408" w:lineRule="exact"/>
        <w:ind w:left="0" w:right="0" w:firstLine="576"/>
        <w:jc w:val="left"/>
      </w:pPr>
      <w:r>
        <w:rPr/>
        <w:t xml:space="preserve">(2) </w:t>
      </w:r>
      <w:r>
        <w:rPr>
          <w:u w:val="single"/>
        </w:rPr>
        <w:t xml:space="preserve">Notwithstanding subsection (1) of this section, supplying electricity from a power plant that complies with the greenhouse gas emissions performance standard established under RCW 80.80.040 or 80.80.050 is not a violation of the policy enunciated in subsection (1) of this section.</w:t>
      </w:r>
    </w:p>
    <w:p>
      <w:pPr>
        <w:spacing w:before="0" w:after="0" w:line="408" w:lineRule="exact"/>
        <w:ind w:left="0" w:right="0" w:firstLine="576"/>
        <w:jc w:val="left"/>
      </w:pPr>
      <w:r>
        <w:rPr>
          <w:u w:val="single"/>
        </w:rPr>
        <w:t xml:space="preserve">(3)</w:t>
      </w:r>
      <w:r>
        <w:rPr/>
        <w:t xml:space="preserve"> Each electric utility must incorporate subsection (1) of this section into all relevant planning and resource acquisition practices including, but not limited 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planning to meet projected demand consistent with the requirements of subsection </w:t>
      </w:r>
      <w:r>
        <w:t>((</w:t>
      </w:r>
      <w:r>
        <w:rPr>
          <w:strike/>
        </w:rPr>
        <w:t xml:space="preserve">(2)</w:t>
      </w:r>
      <w:r>
        <w:t>))</w:t>
      </w:r>
      <w:r>
        <w:rPr/>
        <w:t xml:space="preserve"> </w:t>
      </w:r>
      <w:r>
        <w:rPr>
          <w:u w:val="single"/>
        </w:rPr>
        <w:t xml:space="preserve">(3)</w:t>
      </w:r>
      <w:r>
        <w:rPr/>
        <w:t xml:space="preserve"> of this section and RCW 19.285.040, if applicable, an electric utility must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(a) Achieve targets at the lowest reasonable cost, considering risk;</w:t>
      </w:r>
    </w:p>
    <w:p>
      <w:pPr>
        <w:spacing w:before="0" w:after="0" w:line="408" w:lineRule="exact"/>
        <w:ind w:left="0" w:right="0" w:firstLine="576"/>
        <w:jc w:val="left"/>
      </w:pPr>
      <w:r>
        <w:rPr/>
        <w:t xml:space="preserve">(b) Consider acquisition of existing renewable resources; and</w:t>
      </w:r>
    </w:p>
    <w:p>
      <w:pPr>
        <w:spacing w:before="0" w:after="0" w:line="408" w:lineRule="exact"/>
        <w:ind w:left="0" w:right="0" w:firstLine="576"/>
        <w:jc w:val="left"/>
      </w:pPr>
      <w:r>
        <w:rPr/>
        <w:t xml:space="preserve">(c) In the acquisition of new resources constructed after May 7, 2019, rely on renewable resources and energy storage, insofar as doing so is consistent with (a)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Hydroelectric generation used by an electric utility to satisfy the requirements of this section may not include new diversions, new impoundments, new bypass reaches, or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May 7, 2019,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an electric utility from purchasing or exchanging power from the Bonneville power administration.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Affected market customers must comply with the obligations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Any market customer that purchases electricity exclusively from carbon-free resources and eligible renewable resources, as defined in RCW 19.285.030 as of January 1, 2019, pursuant to a special contract with an investor-owned utility approved, prior to May 7, 2019,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050</w:t>
      </w:r>
      <w:r>
        <w:rPr/>
        <w:t xml:space="preserve"> and 2007 c 307 s 7 are each amended to read as follows:</w:t>
      </w:r>
    </w:p>
    <w:p>
      <w:pPr>
        <w:spacing w:before="0" w:after="0" w:line="408" w:lineRule="exact"/>
        <w:ind w:left="0" w:right="0" w:firstLine="576"/>
        <w:jc w:val="left"/>
      </w:pPr>
      <w:r>
        <w:rPr/>
        <w:t xml:space="preserve">The energy policy division of the department of </w:t>
      </w:r>
      <w:r>
        <w:t>((</w:t>
      </w:r>
      <w:r>
        <w:rPr>
          <w:strike/>
        </w:rPr>
        <w:t xml:space="preserve">community, trade, and economic development</w:t>
      </w:r>
      <w:r>
        <w:t>))</w:t>
      </w:r>
      <w:r>
        <w:rPr/>
        <w:t xml:space="preserve"> </w:t>
      </w:r>
      <w:r>
        <w:rPr>
          <w:u w:val="single"/>
        </w:rPr>
        <w:t xml:space="preserve">commerce</w:t>
      </w:r>
      <w:r>
        <w:rPr/>
        <w:t xml:space="preserve"> shall provide an opportunity for interested parties to comment on the development of a survey of new combined-cycle natural gas thermal electric generation turbines commercially available and offered for sale by manufacturers and purchased in the United States to determine the average rate of emissions of greenhouse gases for these turbines. The department of </w:t>
      </w:r>
      <w:r>
        <w:t>((</w:t>
      </w:r>
      <w:r>
        <w:rPr>
          <w:strike/>
        </w:rPr>
        <w:t xml:space="preserve">community, trade, and economic development</w:t>
      </w:r>
      <w:r>
        <w:t>))</w:t>
      </w:r>
      <w:r>
        <w:rPr/>
        <w:t xml:space="preserve"> </w:t>
      </w:r>
      <w:r>
        <w:rPr>
          <w:u w:val="single"/>
        </w:rPr>
        <w:t xml:space="preserve">commerce</w:t>
      </w:r>
      <w:r>
        <w:rPr/>
        <w:t xml:space="preserve"> shall report the results of its survey to the legislature every five years, beginning June 30, 2013. The department of </w:t>
      </w:r>
      <w:r>
        <w:t>((</w:t>
      </w:r>
      <w:r>
        <w:rPr>
          <w:strike/>
        </w:rPr>
        <w:t xml:space="preserve">community, trade, and economic development</w:t>
      </w:r>
      <w:r>
        <w:t>))</w:t>
      </w:r>
      <w:r>
        <w:rPr/>
        <w:t xml:space="preserve"> </w:t>
      </w:r>
      <w:r>
        <w:rPr>
          <w:u w:val="single"/>
        </w:rPr>
        <w:t xml:space="preserve">commerce</w:t>
      </w:r>
      <w:r>
        <w:rPr/>
        <w:t xml:space="preserve"> shall adopt by rule the average available greenhouse </w:t>
      </w:r>
      <w:r>
        <w:t>((</w:t>
      </w:r>
      <w:r>
        <w:rPr>
          <w:strike/>
        </w:rPr>
        <w:t xml:space="preserve">gases</w:t>
      </w:r>
      <w:r>
        <w:t>))</w:t>
      </w:r>
      <w:r>
        <w:rPr/>
        <w:t xml:space="preserve"> </w:t>
      </w:r>
      <w:r>
        <w:rPr>
          <w:u w:val="single"/>
        </w:rPr>
        <w:t xml:space="preserve">gas</w:t>
      </w:r>
      <w:r>
        <w:rPr/>
        <w:t xml:space="preserve"> emissions output every five years beginning five years after July 22, 2007.</w:t>
      </w:r>
    </w:p>
    <w:p/>
    <w:p>
      <w:pPr>
        <w:jc w:val="center"/>
      </w:pPr>
      <w:r>
        <w:rPr>
          <w:b/>
        </w:rPr>
        <w:t>--- END ---</w:t>
      </w:r>
    </w:p>
    <w:sectPr>
      <w:pgNumType w:start="1"/>
      <w:footerReference xmlns:r="http://schemas.openxmlformats.org/officeDocument/2006/relationships" r:id="R5797c098df6b49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5dc724bac1428c" /><Relationship Type="http://schemas.openxmlformats.org/officeDocument/2006/relationships/footer" Target="/word/footer1.xml" Id="R5797c098df6b49be" /></Relationships>
</file>