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a984759e2480c" /></Relationships>
</file>

<file path=word/document.xml><?xml version="1.0" encoding="utf-8"?>
<w:document xmlns:w="http://schemas.openxmlformats.org/wordprocessingml/2006/main">
  <w:body>
    <w:p>
      <w:r>
        <w:t>S-3471.1</w:t>
      </w:r>
    </w:p>
    <w:p>
      <w:pPr>
        <w:jc w:val="center"/>
      </w:pPr>
      <w:r>
        <w:t>_______________________________________________</w:t>
      </w:r>
    </w:p>
    <w:p/>
    <w:p>
      <w:pPr>
        <w:jc w:val="center"/>
      </w:pPr>
      <w:r>
        <w:rPr>
          <w:b/>
        </w:rPr>
        <w:t>SENATE BILL 5855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Lovelett, Nobles, C. Wilson, Billig, Das, Hasegawa, Hawkins, Hunt, Keiser, Kuderer, Nguyen, Randall, Saldaña, Stanford, and Trudeau</w:t>
      </w:r>
    </w:p>
    <w:p/>
    <w:p>
      <w:r>
        <w:rPr>
          <w:t xml:space="preserve">Read first time 01/13/22.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campaign funds to reimburse expenses for child care and other caregiving services; and amending RCW 42.17A.445.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445</w:t>
      </w:r>
      <w:r>
        <w:rPr/>
        <w:t xml:space="preserve"> and 2010 c 204 s 608 are each amended to read as follows:</w:t>
      </w:r>
    </w:p>
    <w:p>
      <w:pPr>
        <w:spacing w:before="0" w:after="0" w:line="408" w:lineRule="exact"/>
        <w:ind w:left="0" w:right="0" w:firstLine="576"/>
        <w:jc w:val="left"/>
      </w:pPr>
      <w:r>
        <w:rPr/>
        <w:t xml:space="preserve">Contributions received and reported in accordance with RCW 42.17A.220 through 42.17A.240 and 42.17A.425 may only be paid to a candidate, or a treasurer or other individual or expended for such individual's personal use under the following circumstances:</w:t>
      </w:r>
    </w:p>
    <w:p>
      <w:pPr>
        <w:spacing w:before="0" w:after="0" w:line="408" w:lineRule="exact"/>
        <w:ind w:left="0" w:right="0" w:firstLine="576"/>
        <w:jc w:val="left"/>
      </w:pPr>
      <w:r>
        <w:rPr/>
        <w:t xml:space="preserve">(1) Reimbursement for or payments to cover lost earnings incurred as a result of campaigning or services performed for the political committee. Lost earnings shall be verifiable as unpaid salary, or when the individual is not salaried, as an amount not to exceed income received by the individual for services rendered during an appropriate, corresponding time period. All lost earnings incurred shall be documented and a record shall be maintained by the candidate or the candidate's authorized committee in accordance with RCW 42.17A.235.</w:t>
      </w:r>
    </w:p>
    <w:p>
      <w:pPr>
        <w:spacing w:before="0" w:after="0" w:line="408" w:lineRule="exact"/>
        <w:ind w:left="0" w:right="0" w:firstLine="576"/>
        <w:jc w:val="left"/>
      </w:pPr>
      <w:r>
        <w:rPr/>
        <w:t xml:space="preserve">(2) Reimbursement for direct out-of-pocket election campaign and postelection campaign related expenses made by the individual. To receive reimbursement from the political committee, the individual shall provide the political committee with written documentation as to the amount, date, and description of each expense, and the political committee shall include a copy of such information when its expenditure for such reimbursement is reported pursuant to RCW 42.17A.240.</w:t>
      </w:r>
    </w:p>
    <w:p>
      <w:pPr>
        <w:spacing w:before="0" w:after="0" w:line="408" w:lineRule="exact"/>
        <w:ind w:left="0" w:right="0" w:firstLine="576"/>
        <w:jc w:val="left"/>
      </w:pPr>
      <w:r>
        <w:rPr/>
        <w:t xml:space="preserve">(3) Repayment of loans made by the individual to political committees shall be reported pursuant to RCW 42.17A.240. However, contributions may not be used to reimburse a candidate for loans totaling more than four thousand seven hundred dollars made by the candidate to the candidate's own authorized committee.</w:t>
      </w:r>
    </w:p>
    <w:p>
      <w:pPr>
        <w:spacing w:before="0" w:after="0" w:line="408" w:lineRule="exact"/>
        <w:ind w:left="0" w:right="0" w:firstLine="576"/>
        <w:jc w:val="left"/>
      </w:pPr>
      <w:r>
        <w:rPr>
          <w:u w:val="single"/>
        </w:rPr>
        <w:t xml:space="preserve">(4) Reimbursement for expenses incurred for the direct care, protection, and supervision of a child or other person with a disability or medical condition for whom the candidate has direct caregiving responsibility that occurred directly as a result of the candidate's campaign activities.</w:t>
      </w:r>
    </w:p>
    <w:p/>
    <w:p>
      <w:pPr>
        <w:jc w:val="center"/>
      </w:pPr>
      <w:r>
        <w:rPr>
          <w:b/>
        </w:rPr>
        <w:t>--- END ---</w:t>
      </w:r>
    </w:p>
    <w:sectPr>
      <w:pgNumType w:start="1"/>
      <w:footerReference xmlns:r="http://schemas.openxmlformats.org/officeDocument/2006/relationships" r:id="Rfc9632ba898d47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2ff55ccd0b46c5" /><Relationship Type="http://schemas.openxmlformats.org/officeDocument/2006/relationships/footer" Target="/word/footer1.xml" Id="Rfc9632ba898d47d0" /></Relationships>
</file>