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a258dce9e824955" /></Relationships>
</file>

<file path=word/document.xml><?xml version="1.0" encoding="utf-8"?>
<w:document xmlns:w="http://schemas.openxmlformats.org/wordprocessingml/2006/main">
  <w:body>
    <w:p>
      <w:r>
        <w:t>S-3301.3</w:t>
      </w:r>
    </w:p>
    <w:p>
      <w:pPr>
        <w:jc w:val="center"/>
      </w:pPr>
      <w:r>
        <w:t>_______________________________________________</w:t>
      </w:r>
    </w:p>
    <w:p/>
    <w:p>
      <w:pPr>
        <w:jc w:val="center"/>
      </w:pPr>
      <w:r>
        <w:rPr>
          <w:b/>
        </w:rPr>
        <w:t>SENATE BILL 5830</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Senators Liias, Hasegawa, Nobles, and C. Wilson</w:t>
      </w:r>
    </w:p>
    <w:p/>
    <w:p>
      <w:r>
        <w:rPr>
          <w:t xml:space="preserve">Read first time 01/12/22.  </w:t>
        </w:rPr>
      </w:r>
      <w:r>
        <w:rPr>
          <w:t xml:space="preserve">Referred to Committee on Higher Education &amp; Workforce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tenure-track faculty at the public baccalaureate institutions; adding a new section to chapter 28B.10 RCW;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The legislature recognizes that extensive research has shown that student outcomes and success, especially for first generation, underserved students, significantly improve by increasing the number of tenure-track faculty at public four-year universities.</w:t>
      </w:r>
    </w:p>
    <w:p>
      <w:pPr>
        <w:spacing w:before="0" w:after="0" w:line="408" w:lineRule="exact"/>
        <w:ind w:left="0" w:right="0" w:firstLine="576"/>
        <w:jc w:val="left"/>
      </w:pPr>
      <w:r>
        <w:rPr/>
        <w:t xml:space="preserve">(a) The legislature's goal is that the state universities, regional universities, and state college add 200 new full-time tenure-track positions in the 2022-23 academic year. These positions shall be divided among the six institutions with the most positions allocated to the institutions with the highest student to faculty ratios:</w:t>
      </w:r>
    </w:p>
    <w:p>
      <w:pPr>
        <w:spacing w:before="0" w:after="0" w:line="408" w:lineRule="exact"/>
        <w:ind w:left="0" w:right="0" w:firstLine="576"/>
        <w:jc w:val="left"/>
      </w:pPr>
      <w:r>
        <w:rPr/>
        <w:t xml:space="preserve">(i) Thirty at the University of Washington;</w:t>
      </w:r>
    </w:p>
    <w:p>
      <w:pPr>
        <w:spacing w:before="0" w:after="0" w:line="408" w:lineRule="exact"/>
        <w:ind w:left="0" w:right="0" w:firstLine="576"/>
        <w:jc w:val="left"/>
      </w:pPr>
      <w:r>
        <w:rPr/>
        <w:t xml:space="preserve">(ii) Thirty at Washington State University;</w:t>
      </w:r>
    </w:p>
    <w:p>
      <w:pPr>
        <w:spacing w:before="0" w:after="0" w:line="408" w:lineRule="exact"/>
        <w:ind w:left="0" w:right="0" w:firstLine="576"/>
        <w:jc w:val="left"/>
      </w:pPr>
      <w:r>
        <w:rPr/>
        <w:t xml:space="preserve">(iii) Fifty at Central Washington University;</w:t>
      </w:r>
    </w:p>
    <w:p>
      <w:pPr>
        <w:spacing w:before="0" w:after="0" w:line="408" w:lineRule="exact"/>
        <w:ind w:left="0" w:right="0" w:firstLine="576"/>
        <w:jc w:val="left"/>
      </w:pPr>
      <w:r>
        <w:rPr/>
        <w:t xml:space="preserve">(iv) Fifty at Eastern Washington University;</w:t>
      </w:r>
    </w:p>
    <w:p>
      <w:pPr>
        <w:spacing w:before="0" w:after="0" w:line="408" w:lineRule="exact"/>
        <w:ind w:left="0" w:right="0" w:firstLine="576"/>
        <w:jc w:val="left"/>
      </w:pPr>
      <w:r>
        <w:rPr/>
        <w:t xml:space="preserve">(v) Twenty at Western Washington University; and</w:t>
      </w:r>
    </w:p>
    <w:p>
      <w:pPr>
        <w:spacing w:before="0" w:after="0" w:line="408" w:lineRule="exact"/>
        <w:ind w:left="0" w:right="0" w:firstLine="576"/>
        <w:jc w:val="left"/>
      </w:pPr>
      <w:r>
        <w:rPr/>
        <w:t xml:space="preserve">(vi) Twenty at The Evergreen State College.</w:t>
      </w:r>
    </w:p>
    <w:p>
      <w:pPr>
        <w:spacing w:before="0" w:after="0" w:line="408" w:lineRule="exact"/>
        <w:ind w:left="0" w:right="0" w:firstLine="576"/>
        <w:jc w:val="left"/>
      </w:pPr>
      <w:r>
        <w:rPr/>
        <w:t xml:space="preserve">(b) This goal is best accomplished through converting part-time faculty positions to full-time tenure-track positions and by hiring new full-time faculty through institutional search processes, with special attention to diversity, equity, and inclusion. If specific funding for the purpose of conversion assignments proposed in this section is not provided in the omnibus operating appropriations act, the conversion assignments proposed must be delayed until such time as specific funding is provided.</w:t>
      </w:r>
    </w:p>
    <w:p>
      <w:pPr>
        <w:spacing w:before="0" w:after="0" w:line="408" w:lineRule="exact"/>
        <w:ind w:left="0" w:right="0" w:firstLine="576"/>
        <w:jc w:val="left"/>
      </w:pPr>
      <w:r>
        <w:rPr/>
        <w:t xml:space="preserve">(c) The state universities, regional universities, and state college shall develop a model faculty diversity program designed to provide for the retention and recruitment of faculty from all racial, ethnic, and cultural backgrounds. The faculty diversity program must be based on proven practices in diversity hiring processes. If the state university, regional university, or state college have already developed a plan that meets these requirements, then they are considered in compliance. Any hires made under this section must be conducted in alignment with the faculty diversity program.</w:t>
      </w:r>
    </w:p>
    <w:p>
      <w:pPr>
        <w:spacing w:before="0" w:after="0" w:line="408" w:lineRule="exact"/>
        <w:ind w:left="0" w:right="0" w:firstLine="576"/>
        <w:jc w:val="left"/>
      </w:pPr>
      <w:r>
        <w:rPr/>
        <w:t xml:space="preserve">(d) The Washington student achievement council must collect data and assess the impact of the 200 additional full-time tenure-track faculty on student completion rates. The Washington student achievement council must convene representatives of faculty, staff, and administration to report on outcomes as a result of increasing full-time tenure-track faculty. In consultation with representatives of faculty, staff, and administration, the Washington student achievement council must make recommendations about future steps to increase full-time tenure-track faculty that incorporate faculty diversity and historically underserved communities. The Washington student achievement council must report the results of its assessment, along with next step recommendations, to the legislature by December 15, 2024. The Washington student achievement council shall conspicuously post on its website and include in the report definitions for key terms including: Diversity, equity, inclusion, culturally competent, culturally appropriate, historically marginalized communities, communities of color, low-income communities, and community organizations.</w:t>
      </w:r>
    </w:p>
    <w:p>
      <w:pPr>
        <w:spacing w:before="0" w:after="0" w:line="408" w:lineRule="exact"/>
        <w:ind w:left="0" w:right="0" w:firstLine="576"/>
        <w:jc w:val="left"/>
      </w:pPr>
      <w:r>
        <w:rPr/>
        <w:t xml:space="preserve">(2) This section expires July 1, 2025.</w:t>
      </w:r>
    </w:p>
    <w:p/>
    <w:p>
      <w:pPr>
        <w:jc w:val="center"/>
      </w:pPr>
      <w:r>
        <w:rPr>
          <w:b/>
        </w:rPr>
        <w:t>--- END ---</w:t>
      </w:r>
    </w:p>
    <w:sectPr>
      <w:pgNumType w:start="1"/>
      <w:footerReference xmlns:r="http://schemas.openxmlformats.org/officeDocument/2006/relationships" r:id="R60dffbc73606428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5830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911babb52f24d15" /><Relationship Type="http://schemas.openxmlformats.org/officeDocument/2006/relationships/footer" Target="/word/footer1.xml" Id="R60dffbc736064288" /></Relationships>
</file>