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8f767b63414646" /></Relationships>
</file>

<file path=word/document.xml><?xml version="1.0" encoding="utf-8"?>
<w:document xmlns:w="http://schemas.openxmlformats.org/wordprocessingml/2006/main">
  <w:body>
    <w:p>
      <w:r>
        <w:t>S-3838.1</w:t>
      </w:r>
    </w:p>
    <w:p>
      <w:pPr>
        <w:jc w:val="center"/>
      </w:pPr>
      <w:r>
        <w:t>_______________________________________________</w:t>
      </w:r>
    </w:p>
    <w:p/>
    <w:p>
      <w:pPr>
        <w:jc w:val="center"/>
      </w:pPr>
      <w:r>
        <w:rPr>
          <w:b/>
        </w:rPr>
        <w:t>SUBSTITUTE SENATE BILL 5728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Holy, Dhingra, and Nobles; by request of State Treasurer)</w:t>
      </w:r>
    </w:p>
    <w:p/>
    <w:p>
      <w:r>
        <w:rPr>
          <w:t xml:space="preserve">READ FIRST TIME 01/26/22.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state's portion of civil asset forfeiture collections; amending RCW 69.50.505, 46.61.5058, 10.105.010, 9.68A.120, and 9A.88.150; and reenacting and amending RCW 43.79A.040.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marijuana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w:t>
      </w:r>
      <w:r>
        <w:t>((</w:t>
      </w:r>
      <w:r>
        <w:rPr>
          <w:strike/>
        </w:rPr>
        <w:t xml:space="preserve">paraphernalia21</w:t>
      </w:r>
      <w:r>
        <w:t>))</w:t>
      </w:r>
      <w:r>
        <w:rPr/>
        <w:t xml:space="preserve"> </w:t>
      </w:r>
      <w:r>
        <w:rPr>
          <w:u w:val="single"/>
        </w:rPr>
        <w:t xml:space="preserve">paraphernalia</w:t>
      </w:r>
      <w:r>
        <w:rPr/>
        <w:t xml:space="preserve"> other than paraphernalia possessed, sold, or used solely to facilitate marijuana-related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marijuana shall not result in the forfeiture of real property unless the marijuana is possessed for commercial purposes that are unlawful under Washington state law, the amount possessed is five or more plants or one pound or more of marijuana, and a substantial nexus exists between the possession of marijuana and the real property. In such a case, the intent of the offender shall be determined by the preponderance of the evidence, including the offender's prior criminal history, the amount of marijuana possessed by the offender, the sophistication of the activity or equipment used by the offender, whether the offender was licensed to produce, process, or sell marijuana,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marijuana or a legend drug shall not result in the forfeiture of real property unless the sale was forty grams or more in the case of marijuana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w:t>
      </w:r>
      <w:r>
        <w:t>((</w:t>
      </w:r>
      <w:r>
        <w:rPr>
          <w:strike/>
        </w:rPr>
        <w:t xml:space="preserve">treasurer</w:t>
      </w:r>
      <w:r>
        <w:t>))</w:t>
      </w:r>
      <w:r>
        <w:rPr/>
        <w:t xml:space="preserve"> an amount equal to ten percent of the net proceeds of any property forfeited during the preceding calendar year </w:t>
      </w:r>
      <w:r>
        <w:rPr>
          <w:u w:val="single"/>
        </w:rPr>
        <w:t xml:space="preserve">for deposit into the behavioral health loan repayment program account created in RCW 28B.115.135</w:t>
      </w:r>
      <w:r>
        <w:rPr/>
        <w:t xml:space="preserve">. </w:t>
      </w:r>
      <w:r>
        <w:t>((</w:t>
      </w:r>
      <w:r>
        <w:rPr>
          <w:strike/>
        </w:rPr>
        <w:t xml:space="preserve">Money remitted shall be deposited in the state general fund.</w:t>
      </w:r>
      <w:r>
        <w:t>))</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w:t>
      </w:r>
      <w:r>
        <w:t>((</w:t>
      </w:r>
      <w:r>
        <w:rPr>
          <w:strike/>
        </w:rPr>
        <w:t xml:space="preserve">paid</w:t>
      </w:r>
      <w:r>
        <w:t>))</w:t>
      </w:r>
      <w:r>
        <w:rPr/>
        <w:t xml:space="preserve"> </w:t>
      </w:r>
      <w:r>
        <w:rPr>
          <w:u w:val="single"/>
        </w:rPr>
        <w:t xml:space="preserve">remitted</w:t>
      </w:r>
      <w:r>
        <w:rPr/>
        <w:t xml:space="preserve"> to the state </w:t>
      </w:r>
      <w:r>
        <w:t>((</w:t>
      </w:r>
      <w:r>
        <w:rPr>
          <w:strike/>
        </w:rPr>
        <w:t xml:space="preserve">treasurer</w:t>
      </w:r>
      <w:r>
        <w:t>))</w:t>
      </w:r>
      <w:r>
        <w:rPr/>
        <w:t xml:space="preserve">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5058</w:t>
      </w:r>
      <w:r>
        <w:rPr/>
        <w:t xml:space="preserve"> and 2013 2nd sp.s. c 35 s 18 are each amended to read as follows:</w:t>
      </w:r>
    </w:p>
    <w:p>
      <w:pPr>
        <w:spacing w:before="0" w:after="0" w:line="408" w:lineRule="exact"/>
        <w:ind w:left="0" w:right="0" w:firstLine="576"/>
        <w:jc w:val="left"/>
      </w:pPr>
      <w:r>
        <w:rPr/>
        <w:t xml:space="preserve">(1) Upon the arrest of a person or upon the filing of a complaint, citation, or information in a court of competent jurisdiction, based upon probable cause to believe that a person has violated RCW 46.20.740, 46.61.502, or 46.61.504 or any similar municipal ordinance, if such person has a prior offense within seven years as defined in RCW 46.61.5055, and where the person has been provided written notice that any transfer, sale, or encumbrance of such person's interest in the vehicle over which that person was actually driving or had physical control when the violation occurred, is unlawful pending either acquittal, dismissal, sixty days after conviction, or other termination of the charge, such person shall be prohibited from encumbering, selling, or transferring his or her interest in such vehicle, except as otherwise provided in (a), (b), and (c) of this subsection, until either acquittal, dismissal, sixty days after conviction, or other termination of the charge. The prohibition against transfer of title shall not be stayed pending the determination of an appeal from the conviction.</w:t>
      </w:r>
    </w:p>
    <w:p>
      <w:pPr>
        <w:spacing w:before="0" w:after="0" w:line="408" w:lineRule="exact"/>
        <w:ind w:left="0" w:right="0" w:firstLine="576"/>
        <w:jc w:val="left"/>
      </w:pPr>
      <w:r>
        <w:rPr/>
        <w:t xml:space="preserve">(a) A vehicle encumbered by a bona fide security interest may be transferred to the secured party or to a person designated by the secured party;</w:t>
      </w:r>
    </w:p>
    <w:p>
      <w:pPr>
        <w:spacing w:before="0" w:after="0" w:line="408" w:lineRule="exact"/>
        <w:ind w:left="0" w:right="0" w:firstLine="576"/>
        <w:jc w:val="left"/>
      </w:pPr>
      <w:r>
        <w:rPr/>
        <w:t xml:space="preserve">(b) A leased or rented vehicle may be transferred to the lessor, rental agency, or to a person designated by the lessor or rental agency; and</w:t>
      </w:r>
    </w:p>
    <w:p>
      <w:pPr>
        <w:spacing w:before="0" w:after="0" w:line="408" w:lineRule="exact"/>
        <w:ind w:left="0" w:right="0" w:firstLine="576"/>
        <w:jc w:val="left"/>
      </w:pPr>
      <w:r>
        <w:rPr/>
        <w:t xml:space="preserve">(c) A vehicle may be transferred to a third party or a vehicle dealer who is a bona fide purchaser or may be subject to a bona fide security interest in the vehicle unless it is established that (i) in the case of a purchase by a third party or vehicle dealer, such party or dealer had actual notice that the vehicle was subject to the prohibition prior to the purchase, or (ii) in the case of a security interest, the holder of the security interest had actual notice that the vehicle was subject to the prohibition prior to the encumbrance of title.</w:t>
      </w:r>
    </w:p>
    <w:p>
      <w:pPr>
        <w:spacing w:before="0" w:after="0" w:line="408" w:lineRule="exact"/>
        <w:ind w:left="0" w:right="0" w:firstLine="576"/>
        <w:jc w:val="left"/>
      </w:pPr>
      <w:r>
        <w:rPr/>
        <w:t xml:space="preserve">(2) On conviction for a violation of either RCW 46.20.740, 46.61.502, or 46.61.504 or any similar municipal ordinance where the person convicted has a prior offense within seven years as defined in RCW 46.61.5055, the motor vehicle the person was driving or over which the person had actual physical control at the time of the offense, if the person has a financial interest in the vehicle, the court shall consider at sentencing whether the vehicle shall be seized and forfeited pursuant to this section if a seizure or forfeiture has not yet occurred.</w:t>
      </w:r>
    </w:p>
    <w:p>
      <w:pPr>
        <w:spacing w:before="0" w:after="0" w:line="408" w:lineRule="exact"/>
        <w:ind w:left="0" w:right="0" w:firstLine="576"/>
        <w:jc w:val="left"/>
      </w:pPr>
      <w:r>
        <w:rPr/>
        <w:t xml:space="preserve">(3) A vehicle subject to forfeiture under this chapter may be seized by a law enforcement officer of this state upon process issued by a court of competent jurisdiction. Seizure of a vehicle may be made without process if the vehicle subject to seizure has been the subject of a prior judgment in favor of the state in a forfeiture proceeding based upon this section.</w:t>
      </w:r>
    </w:p>
    <w:p>
      <w:pPr>
        <w:spacing w:before="0" w:after="0" w:line="408" w:lineRule="exact"/>
        <w:ind w:left="0" w:right="0" w:firstLine="576"/>
        <w:jc w:val="left"/>
      </w:pPr>
      <w:r>
        <w:rPr/>
        <w:t xml:space="preserve">(4) Seizure under subsection (3) of this section automatically commences proceedings for forfeiture. The law enforcement agency under whose authority the seizure was made shall cause notice of the seizure and intended forfeiture of the seized vehicle to be served within fifteen days after the seizure on the owner of the vehicle seized, on the person in charge of the vehicle, and on any person having a known right or interest in the vehicle, including a community property interest. The notice of seizure may be served by any method authorized by law or court rule, including but not limited to service by certified mail with return receipt requested. Service by mail is complete upon mailing within the fifteen-day period after the seizure. Notice of seizure in the case of property subject to a security interest that has been perfected on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(5) If no person notifies the seizing law enforcement agency in writing of the person's claim of ownership or right to possession of the seized vehicle within forty-five days of the seizure, the vehicle is deemed forfeited.</w:t>
      </w:r>
    </w:p>
    <w:p>
      <w:pPr>
        <w:spacing w:before="0" w:after="0" w:line="408" w:lineRule="exact"/>
        <w:ind w:left="0" w:right="0" w:firstLine="576"/>
        <w:jc w:val="left"/>
      </w:pPr>
      <w:r>
        <w:rPr/>
        <w:t xml:space="preserve">(6) If a person notifies the seizing law enforcement agency in writing of the person's claim of ownership or right to possession of the seized vehicle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vehicle is within the jurisdictional limit set forth in RCW 3.66.020. A hearing before the seizing agency and any appeal therefrom shall be under Title 34 RCW. In a court hearing between two or more claimants to the vehicle involved, the prevailing party shall be entitled to a judgment for costs and reasonable attorneys' fees. The burden of producing evidence shall be upon the person claiming to be the legal owner or the person claiming to have the lawful right to possession of the vehicle. The seizing law enforcement agency shall promptly return the vehicle to the claimant upon a determination by the administrative law judge or court that the claimant is the present legal owner under this title or is lawfully entitled to possession of the vehicle.</w:t>
      </w:r>
    </w:p>
    <w:p>
      <w:pPr>
        <w:spacing w:before="0" w:after="0" w:line="408" w:lineRule="exact"/>
        <w:ind w:left="0" w:right="0" w:firstLine="576"/>
        <w:jc w:val="left"/>
      </w:pPr>
      <w:r>
        <w:rPr/>
        <w:t xml:space="preserve">(7) When a vehicle is forfeited under this chapter the seizing law enforcement agency may sell the vehicle, retain it for official use, or upon application by a law enforcement agency of this state release the vehicle to that agency for the exclusive use of enforcing this title; provided, however, that the agency shall first satisfy any bona fide security interest to which the vehicle is subject under subsection (1)(a) or (c) of this section.</w:t>
      </w:r>
    </w:p>
    <w:p>
      <w:pPr>
        <w:spacing w:before="0" w:after="0" w:line="408" w:lineRule="exact"/>
        <w:ind w:left="0" w:right="0" w:firstLine="576"/>
        <w:jc w:val="left"/>
      </w:pPr>
      <w:r>
        <w:rPr/>
        <w:t xml:space="preserve">(8) When a vehicle is forfeited, the seizing agency shall keep a record indicating the identity of the prior owner, if known, a description of the vehicle, the disposition of the vehicle, the value of the vehicle at the time of seizure, and the amount of proceeds realized from disposition of the vehicle.</w:t>
      </w:r>
    </w:p>
    <w:p>
      <w:pPr>
        <w:spacing w:before="0" w:after="0" w:line="408" w:lineRule="exact"/>
        <w:ind w:left="0" w:right="0" w:firstLine="576"/>
        <w:jc w:val="left"/>
      </w:pPr>
      <w:r>
        <w:rPr/>
        <w:t xml:space="preserve">(9) Each seizing agency shall retain records of forfeited vehicles for at least seven years.</w:t>
      </w:r>
    </w:p>
    <w:p>
      <w:pPr>
        <w:spacing w:before="0" w:after="0" w:line="408" w:lineRule="exact"/>
        <w:ind w:left="0" w:right="0" w:firstLine="576"/>
        <w:jc w:val="left"/>
      </w:pPr>
      <w:r>
        <w:rPr/>
        <w:t xml:space="preserve">(10) Each seizing agency shall file a report including a copy of the records of forfeited vehicles with the state treasurer each calendar quarter.</w:t>
      </w:r>
    </w:p>
    <w:p>
      <w:pPr>
        <w:spacing w:before="0" w:after="0" w:line="408" w:lineRule="exact"/>
        <w:ind w:left="0" w:right="0" w:firstLine="576"/>
        <w:jc w:val="left"/>
      </w:pPr>
      <w:r>
        <w:rPr/>
        <w:t xml:space="preserve">(11) The quarterly report need not include a record of a forfeited vehicle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(12) By January 31st of each year, each seizing agency shall remit to the state </w:t>
      </w:r>
      <w:r>
        <w:t>((</w:t>
      </w:r>
      <w:r>
        <w:rPr>
          <w:strike/>
        </w:rPr>
        <w:t xml:space="preserve">treasurer</w:t>
      </w:r>
      <w:r>
        <w:t>))</w:t>
      </w:r>
      <w:r>
        <w:rPr/>
        <w:t xml:space="preserve"> an amount equal to ten percent of the net proceeds of vehicles forfeited during the preceding calendar year</w:t>
      </w:r>
      <w:r>
        <w:t>((</w:t>
      </w:r>
      <w:r>
        <w:rPr>
          <w:strike/>
        </w:rPr>
        <w:t xml:space="preserve">. Money remitted shall be deposited in the state general fund</w:t>
      </w:r>
      <w:r>
        <w:t>))</w:t>
      </w:r>
      <w:r>
        <w:rPr/>
        <w:t xml:space="preserve"> </w:t>
      </w:r>
      <w:r>
        <w:rPr>
          <w:u w:val="single"/>
        </w:rPr>
        <w:t xml:space="preserve">for deposit into the behavioral health loan repayment program account created in RCW 28B.115.135</w:t>
      </w:r>
      <w:r>
        <w:rPr/>
        <w:t xml:space="preserve">.</w:t>
      </w:r>
    </w:p>
    <w:p>
      <w:pPr>
        <w:spacing w:before="0" w:after="0" w:line="408" w:lineRule="exact"/>
        <w:ind w:left="0" w:right="0" w:firstLine="576"/>
        <w:jc w:val="left"/>
      </w:pPr>
      <w:r>
        <w:rPr/>
        <w:t xml:space="preserve">(13) The net proceeds of a forfeited vehicle is the value of the forfeitable interest in the vehicle after deducting the cost of satisfying a bona fide security interest to which the vehicle is subject at the time of seizure; and in the case of a sold vehicle, after deducting the cost of sale, including reasonable fees or commissions paid to independent selling agents.</w:t>
      </w:r>
    </w:p>
    <w:p>
      <w:pPr>
        <w:spacing w:before="0" w:after="0" w:line="408" w:lineRule="exact"/>
        <w:ind w:left="0" w:right="0" w:firstLine="576"/>
        <w:jc w:val="left"/>
      </w:pPr>
      <w:r>
        <w:rPr/>
        <w:t xml:space="preserve">(14) The value of a sold forfeited vehicle is the sale price. The value of a retained forfeited vehicle is the fair market value of the vehicle at the time of seizure, determined when possible by reference to an applicable commonly used index, such as the index used by the department of licensing. A seizing agency may, but need not, use an independent qualified appraiser to determine the value of retained vehicles. If an appraiser is used, the value of the vehicle appraised is net of the cost of the appraisal.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105</w:t>
      </w:r>
      <w:r>
        <w:rPr/>
        <w:t xml:space="preserve">.</w:t>
      </w:r>
      <w:r>
        <w:t xml:space="preserve">010</w:t>
      </w:r>
      <w:r>
        <w:rPr/>
        <w:t xml:space="preserve"> and 2009 c 479 s 15 are each amended to read as follows:</w:t>
      </w:r>
    </w:p>
    <w:p>
      <w:pPr>
        <w:spacing w:before="0" w:after="0" w:line="408" w:lineRule="exact"/>
        <w:ind w:left="0" w:right="0" w:firstLine="576"/>
        <w:jc w:val="left"/>
      </w:pPr>
      <w:r>
        <w:rPr/>
        <w:t xml:space="preserve">(1) The following are subject to seizure and forfeiture and no property right exists in them: All personal property, including, but not limited to, any item, object, tool, substance, device, weapon, machine, vehicle of any kind, money, security, or negotiable instrument, which has been or was actually employed as an instrumentality in the commission of, or in aiding or abetting in the commission of any felony, or which was furnished or was intended to be furnished by any person in the commission of, as a result of, or as compensation for the commission of, any felony, or which was acquired in whole or in part with proceeds traceable to the commission of a felony. No property may be forfeited under this section until after there has been a superior court conviction of the owner of the property for the felony in connection with which the property was employed, furnished, or acquired.</w:t>
      </w:r>
    </w:p>
    <w:p>
      <w:pPr>
        <w:spacing w:before="0" w:after="0" w:line="408" w:lineRule="exact"/>
        <w:ind w:left="0" w:right="0" w:firstLine="576"/>
        <w:jc w:val="left"/>
      </w:pPr>
      <w:r>
        <w:rPr/>
        <w:t xml:space="preserve">A forfeiture of property encumbered by a bona fide security interest is subject to the interest of the secured party if at the time the security interest was created, the secured party neither had knowledge of nor consented to the commission of the felony.</w:t>
      </w:r>
    </w:p>
    <w:p>
      <w:pPr>
        <w:spacing w:before="0" w:after="0" w:line="408" w:lineRule="exact"/>
        <w:ind w:left="0" w:right="0" w:firstLine="576"/>
        <w:jc w:val="left"/>
      </w:pPr>
      <w:r>
        <w:rPr/>
        <w:t xml:space="preserve">(2) Personal property subject to forfeiture under this chapter may be seized by any law enforcement officer of this state upon process issued by any superior court having jurisdiction over the property.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(c) A law enforcement officer has probable cause to believe that the property is 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the commission of a felony.</w:t>
      </w:r>
    </w:p>
    <w:p>
      <w:pPr>
        <w:spacing w:before="0" w:after="0" w:line="408" w:lineRule="exact"/>
        <w:ind w:left="0" w:right="0" w:firstLine="576"/>
        <w:jc w:val="left"/>
      </w:pPr>
      <w:r>
        <w:rPr/>
        <w:t xml:space="preserve">(3) In the event of seizure pursuant to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The notice of seizure may be served by any method authorized by law or court rule including but not limited to service by certified mail with return receipt requested. Service by mail shall be deemed complete upon mailing within the fifteen 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 of this section within forty-five days of the seizure, the item seized shall be deemed forfeited.</w:t>
      </w:r>
    </w:p>
    <w:p>
      <w:pPr>
        <w:spacing w:before="0" w:after="0" w:line="408" w:lineRule="exact"/>
        <w:ind w:left="0" w:right="0" w:firstLine="576"/>
        <w:jc w:val="left"/>
      </w:pPr>
      <w:r>
        <w:rPr/>
        <w:t xml:space="preserve">(5) If a person notifies the seizing law enforcement agency in writing of the person's claim of ownership or right to possession of the seized property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 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t xml:space="preserve">(6) When property is forfeited under this chapter, after satisfying any court-ordered victim restitution,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criminal law;</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(7) By January 31st of each year, each seizing agency shall remit to the state </w:t>
      </w:r>
      <w:r>
        <w:t>((</w:t>
      </w:r>
      <w:r>
        <w:rPr>
          <w:strike/>
        </w:rPr>
        <w:t xml:space="preserve">treasurer</w:t>
      </w:r>
      <w:r>
        <w:t>))</w:t>
      </w:r>
      <w:r>
        <w:rPr/>
        <w:t xml:space="preserve"> an amount equal to ten percent of the net proceeds of any property forfeited during the preceding calendar year</w:t>
      </w:r>
      <w:r>
        <w:t>((</w:t>
      </w:r>
      <w:r>
        <w:rPr>
          <w:strike/>
        </w:rPr>
        <w:t xml:space="preserve">. Money remitted shall be deposited in the state general fund</w:t>
      </w:r>
      <w:r>
        <w:t>))</w:t>
      </w:r>
      <w:r>
        <w:rPr/>
        <w:t xml:space="preserve"> </w:t>
      </w:r>
      <w:r>
        <w:rPr>
          <w:u w:val="single"/>
        </w:rPr>
        <w:t xml:space="preserve">for deposit into the behavioral health loan repayment program account created in RCW 28B.115.135</w:t>
      </w:r>
      <w:r>
        <w:rPr/>
        <w:t xml:space="preserve">.</w:t>
      </w:r>
    </w:p>
    <w:p>
      <w:pPr>
        <w:spacing w:before="0" w:after="0" w:line="408" w:lineRule="exact"/>
        <w:ind w:left="0" w:right="0" w:firstLine="576"/>
        <w:jc w:val="left"/>
      </w:pPr>
      <w:r>
        <w:rPr/>
        <w:t xml:space="preserve">(a)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w:t>
      </w:r>
    </w:p>
    <w:p>
      <w:pPr>
        <w:spacing w:before="0" w:after="0" w:line="408" w:lineRule="exact"/>
        <w:ind w:left="0" w:right="0" w:firstLine="576"/>
        <w:jc w:val="left"/>
      </w:pPr>
      <w:r>
        <w:rPr/>
        <w:t xml:space="preserve">(b)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(c) Retained property and net proceeds not required to be </w:t>
      </w:r>
      <w:r>
        <w:t>((</w:t>
      </w:r>
      <w:r>
        <w:rPr>
          <w:strike/>
        </w:rPr>
        <w:t xml:space="preserve">paid</w:t>
      </w:r>
      <w:r>
        <w:t>))</w:t>
      </w:r>
      <w:r>
        <w:rPr/>
        <w:t xml:space="preserve"> </w:t>
      </w:r>
      <w:r>
        <w:rPr>
          <w:u w:val="single"/>
        </w:rPr>
        <w:t xml:space="preserve">remitted</w:t>
      </w:r>
      <w:r>
        <w:rPr/>
        <w:t xml:space="preserve"> to the state </w:t>
      </w:r>
      <w:r>
        <w:t>((</w:t>
      </w:r>
      <w:r>
        <w:rPr>
          <w:strike/>
        </w:rPr>
        <w:t xml:space="preserve">treasurer</w:t>
      </w:r>
      <w:r>
        <w:t>))</w:t>
      </w:r>
      <w:r>
        <w:rPr/>
        <w:t xml:space="preserve">, or otherwise required to be spent under this section, shall be retained by the seizing law enforcement agency exclusively for the expansion and improvement of law enforcement activity. Money retained under this section may not be used to supplant preexisting funding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120</w:t>
      </w:r>
      <w:r>
        <w:rPr/>
        <w:t xml:space="preserve"> and 2014 c 188 s 3 are each amended to read as follows:</w:t>
      </w:r>
    </w:p>
    <w:p>
      <w:pPr>
        <w:spacing w:before="0" w:after="0" w:line="408" w:lineRule="exact"/>
        <w:ind w:left="0" w:right="0" w:firstLine="576"/>
        <w:jc w:val="left"/>
      </w:pPr>
      <w:r>
        <w:rPr/>
        <w:t xml:space="preserve">The following are subject to seizure and forfeiture:</w:t>
      </w:r>
    </w:p>
    <w:p>
      <w:pPr>
        <w:spacing w:before="0" w:after="0" w:line="408" w:lineRule="exact"/>
        <w:ind w:left="0" w:right="0" w:firstLine="576"/>
        <w:jc w:val="left"/>
      </w:pPr>
      <w:r>
        <w:rPr/>
        <w:t xml:space="preserve">(1) All visual or printed matter that depicts a minor engaged in sexually explicit conduct.</w:t>
      </w:r>
    </w:p>
    <w:p>
      <w:pPr>
        <w:spacing w:before="0" w:after="0" w:line="408" w:lineRule="exact"/>
        <w:ind w:left="0" w:right="0" w:firstLine="576"/>
        <w:jc w:val="left"/>
      </w:pPr>
      <w:r>
        <w:rPr/>
        <w:t xml:space="preserve">(2) All raw materials, equipment, and other tangible personal property of any kind used or intended to be used to manufacture or process any visual or printed matter that depicts a minor engaged in sexually explicit conduct, and all conveyances, including aircraft, vehicles, or vessels that are used or intended for use to transport, or in any manner to facilitate the transportation of, visual or printed matter in violation of RCW 9.68A.050 or 9.68A.060, but:</w:t>
      </w:r>
    </w:p>
    <w:p>
      <w:pPr>
        <w:spacing w:before="0" w:after="0" w:line="408" w:lineRule="exact"/>
        <w:ind w:left="0" w:right="0" w:firstLine="576"/>
        <w:jc w:val="left"/>
      </w:pPr>
      <w:r>
        <w:rPr/>
        <w:t xml:space="preserve">(a)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No property is subject to forfeiture under this section by reason of any act or omission established by the owner of the property to have been committed or omitted without the owner's knowledge or consent;</w:t>
      </w:r>
    </w:p>
    <w:p>
      <w:pPr>
        <w:spacing w:before="0" w:after="0" w:line="408" w:lineRule="exact"/>
        <w:ind w:left="0" w:right="0" w:firstLine="576"/>
        <w:jc w:val="left"/>
      </w:pPr>
      <w:r>
        <w:rPr/>
        <w:t xml:space="preserve">(c) A forfeiture of property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(d) When the owner of a conveyance has been arrested under this chapter the conveyance may not be subject to forfeiture unless it is seized or process is issued for its seizure within ten days of the owner's arrest.</w:t>
      </w:r>
    </w:p>
    <w:p>
      <w:pPr>
        <w:spacing w:before="0" w:after="0" w:line="408" w:lineRule="exact"/>
        <w:ind w:left="0" w:right="0" w:firstLine="576"/>
        <w:jc w:val="left"/>
      </w:pPr>
      <w:r>
        <w:rPr/>
        <w:t xml:space="preserve">(3) All personal property, moneys, negotiable instruments, securities, or other tangible or intangible property furnished or intended to be furnished by any person in exchange for visual or printed matter depicting a minor engaged in sexually explicit conduct, or constituting proceeds traceable to any violation of this chapter.</w:t>
      </w:r>
    </w:p>
    <w:p>
      <w:pPr>
        <w:spacing w:before="0" w:after="0" w:line="408" w:lineRule="exact"/>
        <w:ind w:left="0" w:right="0" w:firstLine="576"/>
        <w:jc w:val="left"/>
      </w:pPr>
      <w:r>
        <w:rPr/>
        <w:t xml:space="preserve">(4) Property subject to forfeiture under this chapter may be seized by any law enforcement officer of this state upon process issued by any superior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(5) In the event of seizure under subsection (4)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of the seizure and intended forfeiture of the seized property. The notice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(6) If no person notifies the seizing law enforcement agency in writing of the person's claim of ownership or right to possession of seized items within forty-five days of the seizure, the item seized shall be deemed forfeited.</w:t>
      </w:r>
    </w:p>
    <w:p>
      <w:pPr>
        <w:spacing w:before="0" w:after="0" w:line="408" w:lineRule="exact"/>
        <w:ind w:left="0" w:right="0" w:firstLine="576"/>
        <w:jc w:val="left"/>
      </w:pPr>
      <w:r>
        <w:rPr/>
        <w:t xml:space="preserve">(7) If any person notifies the seizing law enforcement agency in writing of the person's claim of ownership or right to possession of seized items within forty-five days of the seizure, the person or persons shall be afforded a reasonable opportunity to be heard as to the claim or right. The hearing shall be before an administrative law judge appointed under chapter 34.12 RCW, except that any person asserting a claim or right may remove the matter to a court of competent jurisdiction if the aggregate value of the article or articles involved is more than five hundred dollars. The hearing before an administrative law judge and any appeal therefrom shall be under Title 34 RCW. In a court hearing between two or more claimants to the article or articles involved, the prevailing party shall be entitled to a judgment for costs and reasonable attorney's fees. The burden of producing evidence shall be upon the person claiming to be the lawful owner or the person claiming to have the lawful right to possession of the seized items. The seizing law enforcement agency shall promptly return the article or articles to the claimant upon a determination by the administrative law judge or court that the claimant is lawfully entitled to possession thereof of the seized items.</w:t>
      </w:r>
    </w:p>
    <w:p>
      <w:pPr>
        <w:spacing w:before="0" w:after="0" w:line="408" w:lineRule="exact"/>
        <w:ind w:left="0" w:right="0" w:firstLine="576"/>
        <w:jc w:val="left"/>
      </w:pPr>
      <w:r>
        <w:rPr/>
        <w:t xml:space="preserve">(8) If property is sought to be forfeited on the ground that it constitutes proceeds traceable to a violation of this chapter, the seizing law enforcement agency must prove by a preponderance of the evidence that the property constitutes proceeds traceable to a violation of this chapter.</w:t>
      </w:r>
    </w:p>
    <w:p>
      <w:pPr>
        <w:spacing w:before="0" w:after="0" w:line="408" w:lineRule="exact"/>
        <w:ind w:left="0" w:right="0" w:firstLine="576"/>
        <w:jc w:val="left"/>
      </w:pPr>
      <w:r>
        <w:rPr/>
        <w:t xml:space="preserve">(9) When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that agency for the exclusive use of enforcing this chapter or chapter 9A.88 RCW;</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(10)(a) By January 31st of each year, each seizing agency shall remit to the state </w:t>
      </w:r>
      <w:r>
        <w:t>((</w:t>
      </w:r>
      <w:r>
        <w:rPr>
          <w:strike/>
        </w:rPr>
        <w:t xml:space="preserve">treasurer</w:t>
      </w:r>
      <w:r>
        <w:t>))</w:t>
      </w:r>
      <w:r>
        <w:rPr/>
        <w:t xml:space="preserve">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an independent selling agency.</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(11) Forfeited property and net proceeds not required to be </w:t>
      </w:r>
      <w:r>
        <w:t>((</w:t>
      </w:r>
      <w:r>
        <w:rPr>
          <w:strike/>
        </w:rPr>
        <w:t xml:space="preserve">paid</w:t>
      </w:r>
      <w:r>
        <w:t>))</w:t>
      </w:r>
      <w:r>
        <w:rPr/>
        <w:t xml:space="preserve"> </w:t>
      </w:r>
      <w:r>
        <w:rPr>
          <w:u w:val="single"/>
        </w:rPr>
        <w:t xml:space="preserve">remitted</w:t>
      </w:r>
      <w:r>
        <w:rPr/>
        <w:t xml:space="preserve"> to the state </w:t>
      </w:r>
      <w:r>
        <w:t>((</w:t>
      </w:r>
      <w:r>
        <w:rPr>
          <w:strike/>
        </w:rPr>
        <w:t xml:space="preserve">treasurer</w:t>
      </w:r>
      <w:r>
        <w:t>))</w:t>
      </w:r>
      <w:r>
        <w:rPr/>
        <w:t xml:space="preserve"> under this chapter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9A.88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150</w:t>
      </w:r>
      <w:r>
        <w:rPr/>
        <w:t xml:space="preserve"> and 2014 c 188 s 4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Any property or other interest acquired or maintained in violation of RCW 9.68A.100, 9.68A.101, or 9A.88.070 to the extent of the investment of funds, and any appreciation or income attributable to the investment, from a violation of RCW 9.68A.100, 9.68A.101, or 9A.88.070;</w:t>
      </w:r>
    </w:p>
    <w:p>
      <w:pPr>
        <w:spacing w:before="0" w:after="0" w:line="408" w:lineRule="exact"/>
        <w:ind w:left="0" w:right="0" w:firstLine="576"/>
        <w:jc w:val="left"/>
      </w:pPr>
      <w:r>
        <w:rPr/>
        <w:t xml:space="preserve">(b) All conveyances, including aircraft, vehicles, or vessels, which are used, or intended for use, in any manner to facilitate a violation of RCW 9.68A.100, 9.68A.101, or 9A.88.070,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RCW 9.68A.100, 9.68A.101, or 9A.88.070;</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(iv) When the owner of a conveyance has been arrested for a violation of RCW 9.68A.100, 9.68A.101, or 9A.88.070,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(c) Any property, contractual right, or claim against property used to influence any enterprise that a person has established, operated, controlled, conducted, or participated in the conduct of, in violation of RCW 9.68A.100, 9.68A.101, or 9A.88.070;</w:t>
      </w:r>
    </w:p>
    <w:p>
      <w:pPr>
        <w:spacing w:before="0" w:after="0" w:line="408" w:lineRule="exact"/>
        <w:ind w:left="0" w:right="0" w:firstLine="576"/>
        <w:jc w:val="left"/>
      </w:pPr>
      <w:r>
        <w:rPr/>
        <w:t xml:space="preserve">(d) All proceeds traceable to or derived from an offense defined in RCW 9.68A.100, 9.68A.101, or 9A.88.070 and all moneys, negotiable instruments, securities, and other things of value significantly used or intended to be used significantly to facilitate commission of the offense;</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RCW 9.68A.100, 9.68A.101, or 9A.88.070;</w:t>
      </w:r>
    </w:p>
    <w:p>
      <w:pPr>
        <w:spacing w:before="0" w:after="0" w:line="408" w:lineRule="exact"/>
        <w:ind w:left="0" w:right="0" w:firstLine="576"/>
        <w:jc w:val="left"/>
      </w:pPr>
      <w:r>
        <w:rPr/>
        <w:t xml:space="preserve">(f) All moneys, negotiable instruments, securities, or other tangible or intangible property of value furnished or intended to be furnished by any person in exchange for a violation of RCW 9.68A.100, 9.68A.101, or 9A.88.070, all tangible or intangible personal property, proceeds, or assets acquired in whole or in part with proceeds traceable to an exchange or series of exchanges in violation of RCW 9.68A.100, 9.68A.101, or 9A.88.070, and all moneys, negotiable instruments, and securities used or intended to be used to facilitate any violation of RCW 9.68A.100, 9.68A.101, or 9A.88.070.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(1)(f),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(g) All real property, including any right, title, and interest in the whole of any lot or tract of land, and any appurtenances or improvements which are being used with the knowledge of the owner for a violation of RCW 9.68A.100, 9.68A.101, or 9A.88.070, or which have been acquired in whole or in part with proceeds traceable to an exchange or series of exchanges in violation of RCW 9.68A.100, 9.68A.101, or 9A.88.070, if a substantial nexus exists between the violation and the real property. However:</w:t>
      </w:r>
    </w:p>
    <w:p>
      <w:pPr>
        <w:spacing w:before="0" w:after="0" w:line="408" w:lineRule="exact"/>
        <w:ind w:left="0" w:right="0" w:firstLine="576"/>
        <w:jc w:val="left"/>
      </w:pPr>
      <w:r>
        <w:rPr/>
        <w:t xml:space="preserve">(i) No property may be forfeited pursuant to this subsection (1)(g),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section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or</w:t>
      </w:r>
    </w:p>
    <w:p>
      <w:pPr>
        <w:spacing w:before="0" w:after="0" w:line="408" w:lineRule="exact"/>
        <w:ind w:left="0" w:right="0" w:firstLine="576"/>
        <w:jc w:val="left"/>
      </w:pPr>
      <w:r>
        <w:rPr/>
        <w:t xml:space="preserve">(c) The law enforcement officer has probable cause to believe that the property was used or is intended to be used in violation of RCW 9.68A.100, 9.68A.101, or 9A.88.070.</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 of this section within forty</w:t>
      </w:r>
      <w:r>
        <w:rPr/>
        <w:noBreakHyphen/>
      </w:r>
      <w:r>
        <w:rPr/>
        <w:t xml:space="preserve">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 of this section within forty</w:t>
      </w:r>
      <w:r>
        <w:rPr/>
        <w:noBreakHyphen/>
      </w:r>
      <w:r>
        <w:rPr/>
        <w:t xml:space="preserve">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w:t>
      </w:r>
      <w:r>
        <w:rPr/>
        <w:noBreakHyphen/>
      </w:r>
      <w:r>
        <w:rPr/>
        <w:t xml:space="preserve">class mail. Service by mail shall be deemed complete upon mailing within the forty</w:t>
      </w:r>
      <w:r>
        <w:rPr/>
        <w:noBreakHyphen/>
      </w:r>
      <w:r>
        <w:rPr/>
        <w:t xml:space="preserve">five day period following service of the notice of seizure in the case of personal property and within the ninety 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w:t>
      </w:r>
      <w:r>
        <w:rPr/>
        <w:noBreakHyphen/>
      </w:r>
      <w:r>
        <w:rPr/>
        <w:t xml:space="preserve">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that agency for the exclusive use of enforcing this chapter or chapter 9.68A RCW;</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w:t>
      </w:r>
      <w:r>
        <w:t>((</w:t>
      </w:r>
      <w:r>
        <w:rPr>
          <w:strike/>
        </w:rPr>
        <w:t xml:space="preserve">treasurer</w:t>
      </w:r>
      <w:r>
        <w:t>))</w:t>
      </w:r>
      <w:r>
        <w:rPr/>
        <w:t xml:space="preserve">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(12) of this section.</w:t>
      </w:r>
    </w:p>
    <w:p>
      <w:pPr>
        <w:spacing w:before="0" w:after="0" w:line="408" w:lineRule="exact"/>
        <w:ind w:left="0" w:right="0" w:firstLine="576"/>
        <w:jc w:val="left"/>
      </w:pPr>
      <w:r>
        <w:rPr/>
        <w:t xml:space="preserve">(c) The value of sold forfeited property is the sale price. The value of destroyed property and retained firearms or illegal property is zero.</w:t>
      </w:r>
    </w:p>
    <w:p>
      <w:pPr>
        <w:spacing w:before="0" w:after="0" w:line="408" w:lineRule="exact"/>
        <w:ind w:left="0" w:right="0" w:firstLine="576"/>
        <w:jc w:val="left"/>
      </w:pPr>
      <w:r>
        <w:rPr/>
        <w:t xml:space="preserve">(10) Net proceeds not required to be </w:t>
      </w:r>
      <w:r>
        <w:t>((</w:t>
      </w:r>
      <w:r>
        <w:rPr>
          <w:strike/>
        </w:rPr>
        <w:t xml:space="preserve">paid</w:t>
      </w:r>
      <w:r>
        <w:t>))</w:t>
      </w:r>
      <w:r>
        <w:rPr/>
        <w:t xml:space="preserve"> </w:t>
      </w:r>
      <w:r>
        <w:rPr>
          <w:u w:val="single"/>
        </w:rPr>
        <w:t xml:space="preserve">remitted</w:t>
      </w:r>
      <w:r>
        <w:rPr/>
        <w:t xml:space="preserve"> to the state </w:t>
      </w:r>
      <w:r>
        <w:t>((</w:t>
      </w:r>
      <w:r>
        <w:rPr>
          <w:strike/>
        </w:rPr>
        <w:t xml:space="preserve">treasurer</w:t>
      </w:r>
      <w:r>
        <w:t>))</w:t>
      </w:r>
      <w:r>
        <w:rPr/>
        <w:t xml:space="preserve">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9.68A RCW.</w:t>
      </w:r>
    </w:p>
    <w:p>
      <w:pPr>
        <w:spacing w:before="0" w:after="0" w:line="408" w:lineRule="exact"/>
        <w:ind w:left="0" w:right="0" w:firstLine="576"/>
        <w:jc w:val="left"/>
      </w:pPr>
      <w:r>
        <w:rPr/>
        <w:t xml:space="preserve">(11)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(12) A landlord may assert a claim against proceeds from the sale of assets seized and forfeited under subsection (9) of this section, only if:</w:t>
      </w:r>
    </w:p>
    <w:p>
      <w:pPr>
        <w:spacing w:before="0" w:after="0" w:line="408" w:lineRule="exact"/>
        <w:ind w:left="0" w:right="0" w:firstLine="576"/>
        <w:jc w:val="left"/>
      </w:pPr>
      <w:r>
        <w:rPr/>
        <w:t xml:space="preserve">(a) A law enforcement officer, while acting in his or her official capacity, directly caused damage to the complaining landlord's property while executing a search of a tenant's residence;</w:t>
      </w:r>
    </w:p>
    <w:p>
      <w:pPr>
        <w:spacing w:before="0" w:after="0" w:line="408" w:lineRule="exact"/>
        <w:ind w:left="0" w:right="0" w:firstLine="576"/>
        <w:jc w:val="left"/>
      </w:pPr>
      <w:r>
        <w:rPr/>
        <w:t xml:space="preserve">(b)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(i) Only if the funds applied under (b)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(ii) Only if the governmental entity denies or fails to respond to the landlord's claim within sixty days of the date of filing, may the landlord collect damages under this subsection by filing within thirty days of denial or the expiration of the sixty day period, whichever occurs first, a claim with the seizing law enforcement agency. The seizing law enforcement agency must notify the landlord of the status of the claim by the end of the thirty day period. Nothing in this section requires the claim to be paid by the end of the sixty day or thirty day period; and</w:t>
      </w:r>
    </w:p>
    <w:p>
      <w:pPr>
        <w:spacing w:before="0" w:after="0" w:line="408" w:lineRule="exact"/>
        <w:ind w:left="0" w:right="0" w:firstLine="576"/>
        <w:jc w:val="left"/>
      </w:pPr>
      <w:r>
        <w:rPr/>
        <w:t xml:space="preserve">(c) For any claim filed under (b)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RCW 9.68A.100, 9.68A.101, or 9A.88.070;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(13) The landlord's claim for damages under subsection (12) of this section may not include a claim for loss of business and is limited to:</w:t>
      </w:r>
    </w:p>
    <w:p>
      <w:pPr>
        <w:spacing w:before="0" w:after="0" w:line="408" w:lineRule="exact"/>
        <w:ind w:left="0" w:right="0" w:firstLine="576"/>
        <w:jc w:val="left"/>
      </w:pPr>
      <w:r>
        <w:rPr/>
        <w:t xml:space="preserve">(a) Damage to tangible property and clean</w:t>
      </w:r>
      <w:r>
        <w:rPr/>
        <w:noBreakHyphen/>
      </w:r>
      <w:r>
        <w:rPr/>
        <w:t xml:space="preserve">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(9)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(12) of this section.</w:t>
      </w:r>
    </w:p>
    <w:p>
      <w:pPr>
        <w:spacing w:before="0" w:after="0" w:line="408" w:lineRule="exact"/>
        <w:ind w:left="0" w:right="0" w:firstLine="576"/>
        <w:jc w:val="left"/>
      </w:pPr>
      <w:r>
        <w:rPr/>
        <w:t xml:space="preserve">(14) Subsections (12) and (13) of this section do not limit any other rights a landlord may have against a tenant to collect for damages. However, if a law enforcement agency satisfies a landlord's claim under subsection (12)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2021 c 175 s 10 and 2021 c 108 s 5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w:t>
      </w:r>
      <w:r>
        <w:t>((</w:t>
      </w:r>
      <w:r>
        <w:rPr>
          <w:strike/>
        </w:rPr>
        <w:t xml:space="preserve">[account]</w:t>
      </w:r>
      <w:r>
        <w:t>))</w:t>
      </w:r>
      <w:r>
        <w:rPr/>
        <w:t xml:space="preserve"> </w:t>
      </w:r>
      <w:r>
        <w:rPr>
          <w:u w:val="single"/>
        </w:rPr>
        <w:t xml:space="preserve">account</w:t>
      </w:r>
      <w:r>
        <w:rPr/>
        <w:t xml:space="preserve">,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w:t>
      </w:r>
      <w:r>
        <w:rPr>
          <w:u w:val="single"/>
        </w:rPr>
        <w:t xml:space="preserve">the behavioral health loan repayment program account,</w:t>
      </w:r>
      <w:r>
        <w:rPr/>
        <w:t xml:space="preserve">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c9c38a75b36b44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0322ddc4c04d5f" /><Relationship Type="http://schemas.openxmlformats.org/officeDocument/2006/relationships/footer" Target="/word/footer1.xml" Id="Rc9c38a75b36b445b" /></Relationships>
</file>