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9972256b04a61" /></Relationships>
</file>

<file path=word/document.xml><?xml version="1.0" encoding="utf-8"?>
<w:document xmlns:w="http://schemas.openxmlformats.org/wordprocessingml/2006/main">
  <w:body>
    <w:p>
      <w:r>
        <w:t>S-3288.1</w:t>
      </w:r>
    </w:p>
    <w:p>
      <w:pPr>
        <w:jc w:val="center"/>
      </w:pPr>
      <w:r>
        <w:t>_______________________________________________</w:t>
      </w:r>
    </w:p>
    <w:p/>
    <w:p>
      <w:pPr>
        <w:jc w:val="center"/>
      </w:pPr>
      <w:r>
        <w:rPr>
          <w:b/>
        </w:rPr>
        <w:t>SENATE BILL 5707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Saldaña, Pedersen, and Nguyen</w:t>
      </w:r>
    </w:p>
    <w:p/>
    <w:p>
      <w:r>
        <w:rPr>
          <w:t xml:space="preserve">Prefiled 01/06/22.</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additional uses for automated traffic safety cameras for traffic congestion reduction and increased safety; amending RCW 46.63.170; amending 2020 c 224 s 3 (uncodified);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2020 c 224 s 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Except for proposed locations used solely for the pilot program purposes permitted under subsection (6) of this section,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speed violations subject to (c) of this subsection; or violations included in subsection (6) of this section for the duration of the pilot program authorized under subsection (6) of this 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 Except as provided in (c) of this subsection and subsection (6) of this section, use of automated traffic safety cameras is restricted to the following locations only: (i) Intersections of two or more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or any other personally identifying data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Except as provided otherwise in subsection (6) of this section,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(5)(a)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(6)(a)(i) A city with a population greater than five hundred thousand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twenty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(c) However, automated traffic safety cameras may not be used on an on-ramp to an interstate.</w:t>
      </w:r>
    </w:p>
    <w:p>
      <w:pPr>
        <w:spacing w:before="0" w:after="0" w:line="408" w:lineRule="exact"/>
        <w:ind w:left="0" w:right="0" w:firstLine="576"/>
        <w:jc w:val="left"/>
      </w:pPr>
      <w:r>
        <w:rPr/>
        <w:t xml:space="preserve">(d) From June 11, 2020,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(1)(e) and (3) of this section, for a violation generated through the use of an automated traffic safety camera authorized in this subsection (6). However, the penalty for the violation may not exceed seventy-five dollars.</w:t>
      </w:r>
    </w:p>
    <w:p>
      <w:pPr>
        <w:spacing w:before="0" w:after="0" w:line="408" w:lineRule="exact"/>
        <w:ind w:left="0" w:right="0" w:firstLine="576"/>
        <w:jc w:val="left"/>
      </w:pPr>
      <w:r>
        <w:rPr/>
        <w:t xml:space="preserve">(e) For infractions issued as authorized in this subsection (6), a city with a pilot program shall remit monthly to the state fifty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RCW 46.68.480. The remaining fifty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t xml:space="preserve">(g) A city that implements a pilot program under this subsection (6) must provide a preliminary report to the transportation committees of the legislature by June 30, </w:t>
      </w:r>
      <w:r>
        <w:t>((</w:t>
      </w:r>
      <w:r>
        <w:rPr>
          <w:strike/>
        </w:rPr>
        <w:t xml:space="preserve">2022</w:t>
      </w:r>
      <w:r>
        <w:t>))</w:t>
      </w:r>
      <w:r>
        <w:rPr/>
        <w:t xml:space="preserve"> </w:t>
      </w:r>
      <w:r>
        <w:rPr>
          <w:u w:val="single"/>
        </w:rPr>
        <w:t xml:space="preserve">2024</w:t>
      </w:r>
      <w:r>
        <w:rPr/>
        <w:t xml:space="preserve">, and a final report by January 1, </w:t>
      </w:r>
      <w:r>
        <w:t>((</w:t>
      </w:r>
      <w:r>
        <w:rPr>
          <w:strike/>
        </w:rPr>
        <w:t xml:space="preserve">2023</w:t>
      </w:r>
      <w:r>
        <w:t>))</w:t>
      </w:r>
      <w:r>
        <w:rPr/>
        <w:t xml:space="preserve"> </w:t>
      </w:r>
      <w:r>
        <w:rPr>
          <w:u w:val="single"/>
        </w:rPr>
        <w:t xml:space="preserve">2025</w:t>
      </w:r>
      <w:r>
        <w:rPr/>
        <w:t xml:space="preserve">,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224 s 3</w:t>
      </w:r>
      <w:r>
        <w:rPr/>
        <w:t xml:space="preserve"> (uncodified) is amended to read as follows:</w:t>
      </w:r>
    </w:p>
    <w:p>
      <w:pPr>
        <w:spacing w:before="0" w:after="0" w:line="408" w:lineRule="exact"/>
        <w:ind w:left="0" w:right="0" w:firstLine="576"/>
        <w:jc w:val="left"/>
      </w:pPr>
      <w:r>
        <w:rPr/>
        <w:t xml:space="preserve">Section 1 of this act expires June 30, </w:t>
      </w:r>
      <w:r>
        <w:t>((</w:t>
      </w:r>
      <w:r>
        <w:rPr>
          <w:strike/>
        </w:rPr>
        <w:t xml:space="preserve">2023</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2025.</w:t>
      </w:r>
    </w:p>
    <w:p/>
    <w:p>
      <w:pPr>
        <w:jc w:val="center"/>
      </w:pPr>
      <w:r>
        <w:rPr>
          <w:b/>
        </w:rPr>
        <w:t>--- END ---</w:t>
      </w:r>
    </w:p>
    <w:sectPr>
      <w:pgNumType w:start="1"/>
      <w:footerReference xmlns:r="http://schemas.openxmlformats.org/officeDocument/2006/relationships" r:id="R416e7939e09041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a8c67899b14f49" /><Relationship Type="http://schemas.openxmlformats.org/officeDocument/2006/relationships/footer" Target="/word/footer1.xml" Id="R416e7939e090411d" /></Relationships>
</file>