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071818d410469b" /></Relationships>
</file>

<file path=word/document.xml><?xml version="1.0" encoding="utf-8"?>
<w:document xmlns:w="http://schemas.openxmlformats.org/wordprocessingml/2006/main">
  <w:body>
    <w:p>
      <w:r>
        <w:t>S-3902.1</w:t>
      </w:r>
    </w:p>
    <w:p>
      <w:pPr>
        <w:jc w:val="center"/>
      </w:pPr>
      <w:r>
        <w:t>_______________________________________________</w:t>
      </w:r>
    </w:p>
    <w:p/>
    <w:p>
      <w:pPr>
        <w:jc w:val="center"/>
      </w:pPr>
      <w:r>
        <w:rPr>
          <w:b/>
        </w:rPr>
        <w:t>SUBSTITUTE SENATE BILL 5706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Saldaña, Frockt, Hasegawa, Nguyen, Stanford, and C. Wilson; by request of Office of the Governor)</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community reinvestment account and community reinvestment program; amending RCW 69.50.540, 43.84.092, and 43.84.092; adding a new section to chapter 43.79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address racial, economic, and social disparities in communities across the state created by the historical design and enforcement of state and federal criminal laws and penalties for illegal drug sales, possession, and use in Washington state, aggressive approaches and targeted resources to support local design and control of community-based responses to these outcomes are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marijuana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marijuana;</w:t>
      </w:r>
    </w:p>
    <w:p>
      <w:pPr>
        <w:spacing w:before="0" w:after="0" w:line="408" w:lineRule="exact"/>
        <w:ind w:left="0" w:right="0" w:firstLine="576"/>
        <w:jc w:val="left"/>
      </w:pPr>
      <w:r>
        <w:rPr/>
        <w:t xml:space="preserve">(i) One million six hundred fifty thousand dollars for fiscal year 2022 and one million six hundred fifty thousand dollars for fiscal year 2023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under RCW 43.330.540; </w:t>
      </w:r>
      <w:r>
        <w:t>((</w:t>
      </w:r>
      <w:r>
        <w:rPr>
          <w:strike/>
        </w:rPr>
        <w:t xml:space="preserve">and</w:t>
      </w:r>
      <w:r>
        <w:t>))</w:t>
      </w:r>
    </w:p>
    <w:p>
      <w:pPr>
        <w:spacing w:before="0" w:after="0" w:line="408" w:lineRule="exact"/>
        <w:ind w:left="0" w:right="0" w:firstLine="576"/>
        <w:jc w:val="left"/>
      </w:pPr>
      <w:r>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w:t>
      </w:r>
      <w:r>
        <w:t>((</w:t>
      </w:r>
      <w:r>
        <w:rPr>
          <w:strike/>
        </w:rPr>
        <w:t xml:space="preserve">Engrossed Substitute House Bill No. 1443 (cannabis industry/equity) [chapter 169, Laws of 2021]</w:t>
      </w:r>
      <w:r>
        <w:t>))</w:t>
      </w:r>
      <w:r>
        <w:rPr/>
        <w:t xml:space="preserve"> </w:t>
      </w:r>
      <w:r>
        <w:rPr>
          <w:u w:val="single"/>
        </w:rPr>
        <w:t xml:space="preserve">chapter 169, Laws of 2021; and</w:t>
      </w:r>
    </w:p>
    <w:p>
      <w:pPr>
        <w:spacing w:before="0" w:after="0" w:line="408" w:lineRule="exact"/>
        <w:ind w:left="0" w:right="0" w:firstLine="576"/>
        <w:jc w:val="left"/>
      </w:pPr>
      <w:r>
        <w:rPr>
          <w:u w:val="single"/>
        </w:rPr>
        <w:t xml:space="preserve">(k) Beginning in fiscal year 2023, and each fiscal year thereafter, $125,000,000 must be transferred into the community reinvestment account and appropriated to the department of commerce for the purposes established in section 3 of this act</w:t>
      </w:r>
      <w:r>
        <w:rPr/>
        <w:t xml:space="preserve">;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community reinvestment account is created in the state treasury. Money from the distribution required in RCW 69.50.540(1)(k) must be deposited into the account. Moneys in the account may be spent only after appropriation. Expenditures from the account may be used for:</w:t>
      </w:r>
    </w:p>
    <w:p>
      <w:pPr>
        <w:spacing w:before="0" w:after="0" w:line="408" w:lineRule="exact"/>
        <w:ind w:left="0" w:right="0" w:firstLine="576"/>
        <w:jc w:val="left"/>
      </w:pPr>
      <w:r>
        <w:rPr/>
        <w:t xml:space="preserve">(1)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(2)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(3) Community-based violence intervention and prevention services; and</w:t>
      </w:r>
    </w:p>
    <w:p>
      <w:pPr>
        <w:spacing w:before="0" w:after="0" w:line="408" w:lineRule="exact"/>
        <w:ind w:left="0" w:right="0" w:firstLine="576"/>
        <w:jc w:val="left"/>
      </w:pPr>
      <w:r>
        <w:rPr/>
        <w:t xml:space="preserve">(4) Reentry services to facilitate successful transitions for persons formerly incarcerated in an adult correctional facility or juvenile residential facility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505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w:t>
      </w:r>
      <w:r>
        <w:rPr>
          <w:u w:val="single"/>
        </w:rPr>
        <w:t xml:space="preserve">the community reinvestment account,</w:t>
      </w:r>
      <w:r>
        <w:rPr/>
        <w:t xml:space="preserve">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
      <w:pPr>
        <w:jc w:val="center"/>
      </w:pPr>
      <w:r>
        <w:rPr>
          <w:b/>
        </w:rPr>
        <w:t>--- END ---</w:t>
      </w:r>
    </w:p>
    <w:sectPr>
      <w:pgNumType w:start="1"/>
      <w:footerReference xmlns:r="http://schemas.openxmlformats.org/officeDocument/2006/relationships" r:id="Ra3e7797cd2cd49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8ad7e63cb84d8d" /><Relationship Type="http://schemas.openxmlformats.org/officeDocument/2006/relationships/footer" Target="/word/footer1.xml" Id="Ra3e7797cd2cd495d" /></Relationships>
</file>