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566abaa1934142" /></Relationships>
</file>

<file path=word/document.xml><?xml version="1.0" encoding="utf-8"?>
<w:document xmlns:w="http://schemas.openxmlformats.org/wordprocessingml/2006/main">
  <w:body>
    <w:p>
      <w:r>
        <w:t>S-4412.2</w:t>
      </w:r>
    </w:p>
    <w:p>
      <w:pPr>
        <w:jc w:val="center"/>
      </w:pPr>
      <w:r>
        <w:t>_______________________________________________</w:t>
      </w:r>
    </w:p>
    <w:p/>
    <w:p>
      <w:pPr>
        <w:jc w:val="center"/>
      </w:pPr>
      <w:r>
        <w:rPr>
          <w:b/>
        </w:rPr>
        <w:t>SECOND SUBSTITUTE SENATE BILL 5702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Ways &amp; Means (originally sponsored by Senators Trudeau, Dhingra, Lovelett, Lovick, Nguyen, Nobles, Randall, Saldaña, Stanford, Van De Wege, and C. Wilson)</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coverage for donor human milk; amending RCW 41.05.017; adding a new section to chapter 48.43 RCW; adding a new section to chapter 74.09 RCW; and adding a new section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plan issued or renewed on or after January 1, 2023, shall provide coverage for medically necessary donor human milk for inpatient use when ordered by a licensed health care provider with prescriptive authority or an international board certified lactation consultant certified by the international lactation consultant association for an infant who is medically or physically unable to receive maternal human milk or participate in chest feeding or whose parent is medically or physically unable to produce maternal human milk in sufficient quantities or caloric density or participate in chest feeding, if the infant meets at least one of the following criteria:</w:t>
      </w:r>
    </w:p>
    <w:p>
      <w:pPr>
        <w:spacing w:before="0" w:after="0" w:line="408" w:lineRule="exact"/>
        <w:ind w:left="0" w:right="0" w:firstLine="576"/>
        <w:jc w:val="left"/>
      </w:pPr>
      <w:r>
        <w:rPr/>
        <w:t xml:space="preserve">(a) An infant birth weight of below 2,500 grams;</w:t>
      </w:r>
    </w:p>
    <w:p>
      <w:pPr>
        <w:spacing w:before="0" w:after="0" w:line="408" w:lineRule="exact"/>
        <w:ind w:left="0" w:right="0" w:firstLine="576"/>
        <w:jc w:val="left"/>
      </w:pPr>
      <w:r>
        <w:rPr/>
        <w:t xml:space="preserve">(b) An infant gestational age equal to or less than 34 weeks;</w:t>
      </w:r>
    </w:p>
    <w:p>
      <w:pPr>
        <w:spacing w:before="0" w:after="0" w:line="408" w:lineRule="exact"/>
        <w:ind w:left="0" w:right="0" w:firstLine="576"/>
        <w:jc w:val="left"/>
      </w:pPr>
      <w:r>
        <w:rPr/>
        <w:t xml:space="preserve">(c) Infant hypoglycemia;</w:t>
      </w:r>
    </w:p>
    <w:p>
      <w:pPr>
        <w:spacing w:before="0" w:after="0" w:line="408" w:lineRule="exact"/>
        <w:ind w:left="0" w:right="0" w:firstLine="576"/>
        <w:jc w:val="left"/>
      </w:pPr>
      <w:r>
        <w:rPr/>
        <w:t xml:space="preserve">(d) A high risk for development of necrotizing enterocolitis, bronchopulmonary dysplasia, or retinopathy of prematurity;</w:t>
      </w:r>
    </w:p>
    <w:p>
      <w:pPr>
        <w:spacing w:before="0" w:after="0" w:line="408" w:lineRule="exact"/>
        <w:ind w:left="0" w:right="0" w:firstLine="576"/>
        <w:jc w:val="left"/>
      </w:pPr>
      <w:r>
        <w:rPr/>
        <w:t xml:space="preserve">(e) A congenital or acquired gastrointestinal condition with long-term feeding or malabsorption complications;</w:t>
      </w:r>
    </w:p>
    <w:p>
      <w:pPr>
        <w:spacing w:before="0" w:after="0" w:line="408" w:lineRule="exact"/>
        <w:ind w:left="0" w:right="0" w:firstLine="576"/>
        <w:jc w:val="left"/>
      </w:pPr>
      <w:r>
        <w:rPr/>
        <w:t xml:space="preserve">(f) Congenital heart disease requiring surgery in the first year of life;</w:t>
      </w:r>
    </w:p>
    <w:p>
      <w:pPr>
        <w:spacing w:before="0" w:after="0" w:line="408" w:lineRule="exact"/>
        <w:ind w:left="0" w:right="0" w:firstLine="576"/>
        <w:jc w:val="left"/>
      </w:pPr>
      <w:r>
        <w:rPr/>
        <w:t xml:space="preserve">(g) An organ or bone marrow transplant;</w:t>
      </w:r>
    </w:p>
    <w:p>
      <w:pPr>
        <w:spacing w:before="0" w:after="0" w:line="408" w:lineRule="exact"/>
        <w:ind w:left="0" w:right="0" w:firstLine="576"/>
        <w:jc w:val="left"/>
      </w:pPr>
      <w:r>
        <w:rPr/>
        <w:t xml:space="preserve">(h) Sepsis;</w:t>
      </w:r>
    </w:p>
    <w:p>
      <w:pPr>
        <w:spacing w:before="0" w:after="0" w:line="408" w:lineRule="exact"/>
        <w:ind w:left="0" w:right="0" w:firstLine="576"/>
        <w:jc w:val="left"/>
      </w:pPr>
      <w:r>
        <w:rPr/>
        <w:t xml:space="preserve">(i) Congenital hypotonias associated with feeding difficulty or malabsorption;</w:t>
      </w:r>
    </w:p>
    <w:p>
      <w:pPr>
        <w:spacing w:before="0" w:after="0" w:line="408" w:lineRule="exact"/>
        <w:ind w:left="0" w:right="0" w:firstLine="576"/>
        <w:jc w:val="left"/>
      </w:pPr>
      <w:r>
        <w:rPr/>
        <w:t xml:space="preserve">(j) Renal disease requiring dialysis in the first year of life;</w:t>
      </w:r>
    </w:p>
    <w:p>
      <w:pPr>
        <w:spacing w:before="0" w:after="0" w:line="408" w:lineRule="exact"/>
        <w:ind w:left="0" w:right="0" w:firstLine="576"/>
        <w:jc w:val="left"/>
      </w:pPr>
      <w:r>
        <w:rPr/>
        <w:t xml:space="preserve">(k) Craniofacial anomalies;</w:t>
      </w:r>
    </w:p>
    <w:p>
      <w:pPr>
        <w:spacing w:before="0" w:after="0" w:line="408" w:lineRule="exact"/>
        <w:ind w:left="0" w:right="0" w:firstLine="576"/>
        <w:jc w:val="left"/>
      </w:pPr>
      <w:r>
        <w:rPr/>
        <w:t xml:space="preserve">(l) An immunologic deficiency;</w:t>
      </w:r>
    </w:p>
    <w:p>
      <w:pPr>
        <w:spacing w:before="0" w:after="0" w:line="408" w:lineRule="exact"/>
        <w:ind w:left="0" w:right="0" w:firstLine="576"/>
        <w:jc w:val="left"/>
      </w:pPr>
      <w:r>
        <w:rPr/>
        <w:t xml:space="preserve">(m) Neonatal abstinence syndrome;</w:t>
      </w:r>
    </w:p>
    <w:p>
      <w:pPr>
        <w:spacing w:before="0" w:after="0" w:line="408" w:lineRule="exact"/>
        <w:ind w:left="0" w:right="0" w:firstLine="576"/>
        <w:jc w:val="left"/>
      </w:pPr>
      <w:r>
        <w:rPr/>
        <w:t xml:space="preserve">(n) Any other serious congenital or acquired condition for which the use of pasteurized donor human milk and donor human milk derived products is medically necessary and supports the treatment and recovery of the child; or</w:t>
      </w:r>
    </w:p>
    <w:p>
      <w:pPr>
        <w:spacing w:before="0" w:after="0" w:line="408" w:lineRule="exact"/>
        <w:ind w:left="0" w:right="0" w:firstLine="576"/>
        <w:jc w:val="left"/>
      </w:pPr>
      <w:r>
        <w:rPr/>
        <w:t xml:space="preserve">(o) Any baby still inpatient within 72 hours of birth without sufficient human milk available.</w:t>
      </w:r>
    </w:p>
    <w:p>
      <w:pPr>
        <w:spacing w:before="0" w:after="0" w:line="408" w:lineRule="exact"/>
        <w:ind w:left="0" w:right="0" w:firstLine="576"/>
        <w:jc w:val="left"/>
      </w:pPr>
      <w:r>
        <w:rPr/>
        <w:t xml:space="preserve">(2) Donor human milk covered under this section must be obtained from a milk bank that meets minimum standards adopted by the department of health pursuant to section 4 of this act.</w:t>
      </w:r>
    </w:p>
    <w:p>
      <w:pPr>
        <w:spacing w:before="0" w:after="0" w:line="408" w:lineRule="exact"/>
        <w:ind w:left="0" w:right="0" w:firstLine="576"/>
        <w:jc w:val="left"/>
      </w:pPr>
      <w:r>
        <w:rPr/>
        <w:t xml:space="preserve">(3) A health plan may require an enrollee to obtain expedited prior authorization to receive coverage for donor human milk as required under this section.</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"Donor human milk" means human milk that has been contributed to a milk bank by one or more donors.</w:t>
      </w:r>
    </w:p>
    <w:p>
      <w:pPr>
        <w:spacing w:before="0" w:after="0" w:line="408" w:lineRule="exact"/>
        <w:ind w:left="0" w:right="0" w:firstLine="576"/>
        <w:jc w:val="left"/>
      </w:pPr>
      <w:r>
        <w:rPr/>
        <w:t xml:space="preserve">(b) "Milk bank" means an organization that engages in the procurement, processing, storage, distribution, or use of human milk contributed by donors.</w:t>
      </w:r>
    </w:p>
    <w:p>
      <w:pPr>
        <w:spacing w:before="0" w:after="0" w:line="408" w:lineRule="exact"/>
        <w:ind w:left="0" w:right="0" w:firstLine="576"/>
        <w:jc w:val="left"/>
      </w:pPr>
      <w:r>
        <w:rPr/>
        <w:t xml:space="preserve">(5) The commissioner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2021 c 280 s 2 are each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w:t>
      </w:r>
      <w:r>
        <w:rPr>
          <w:u w:val="single"/>
        </w:rPr>
        <w:t xml:space="preserve">section 1 of this act,</w:t>
      </w:r>
      <w:r>
        <w:rPr/>
        <w:t xml:space="preserve"> and chapter 48.49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provide coverage under this chapter for medically necessary donor human milk for inpatient use when ordered by a licensed health care provider with prescriptive authority or an international board certified lactation consultant certified by the international lactation consultant association for an infant who is medically or physically unable to receive maternal human milk or participate in chest feeding or whose parent is medically or physically unable to produce maternal human milk in sufficient quantities or caloric density or participate in chest feeding, if the infant meets at least one of the following criteria:</w:t>
      </w:r>
    </w:p>
    <w:p>
      <w:pPr>
        <w:spacing w:before="0" w:after="0" w:line="408" w:lineRule="exact"/>
        <w:ind w:left="0" w:right="0" w:firstLine="576"/>
        <w:jc w:val="left"/>
      </w:pPr>
      <w:r>
        <w:rPr/>
        <w:t xml:space="preserve">(a) An infant birth weight of below 2,500 grams;</w:t>
      </w:r>
    </w:p>
    <w:p>
      <w:pPr>
        <w:spacing w:before="0" w:after="0" w:line="408" w:lineRule="exact"/>
        <w:ind w:left="0" w:right="0" w:firstLine="576"/>
        <w:jc w:val="left"/>
      </w:pPr>
      <w:r>
        <w:rPr/>
        <w:t xml:space="preserve">(b) An infant gestational age equal to or less than 34 weeks;</w:t>
      </w:r>
    </w:p>
    <w:p>
      <w:pPr>
        <w:spacing w:before="0" w:after="0" w:line="408" w:lineRule="exact"/>
        <w:ind w:left="0" w:right="0" w:firstLine="576"/>
        <w:jc w:val="left"/>
      </w:pPr>
      <w:r>
        <w:rPr/>
        <w:t xml:space="preserve">(c) Infant hypoglycemia;</w:t>
      </w:r>
    </w:p>
    <w:p>
      <w:pPr>
        <w:spacing w:before="0" w:after="0" w:line="408" w:lineRule="exact"/>
        <w:ind w:left="0" w:right="0" w:firstLine="576"/>
        <w:jc w:val="left"/>
      </w:pPr>
      <w:r>
        <w:rPr/>
        <w:t xml:space="preserve">(d) A high risk for development of necrotizing enterocolitis, bronchopulmonary dysplasia, or retinopathy of prematurity;</w:t>
      </w:r>
    </w:p>
    <w:p>
      <w:pPr>
        <w:spacing w:before="0" w:after="0" w:line="408" w:lineRule="exact"/>
        <w:ind w:left="0" w:right="0" w:firstLine="576"/>
        <w:jc w:val="left"/>
      </w:pPr>
      <w:r>
        <w:rPr/>
        <w:t xml:space="preserve">(e) A congenital or acquired gastrointestinal condition with long-term feeding or malabsorption complications;</w:t>
      </w:r>
    </w:p>
    <w:p>
      <w:pPr>
        <w:spacing w:before="0" w:after="0" w:line="408" w:lineRule="exact"/>
        <w:ind w:left="0" w:right="0" w:firstLine="576"/>
        <w:jc w:val="left"/>
      </w:pPr>
      <w:r>
        <w:rPr/>
        <w:t xml:space="preserve">(f) Congenital heart disease requiring surgery in the first year of life;</w:t>
      </w:r>
    </w:p>
    <w:p>
      <w:pPr>
        <w:spacing w:before="0" w:after="0" w:line="408" w:lineRule="exact"/>
        <w:ind w:left="0" w:right="0" w:firstLine="576"/>
        <w:jc w:val="left"/>
      </w:pPr>
      <w:r>
        <w:rPr/>
        <w:t xml:space="preserve">(g) An organ or bone marrow transplant;</w:t>
      </w:r>
    </w:p>
    <w:p>
      <w:pPr>
        <w:spacing w:before="0" w:after="0" w:line="408" w:lineRule="exact"/>
        <w:ind w:left="0" w:right="0" w:firstLine="576"/>
        <w:jc w:val="left"/>
      </w:pPr>
      <w:r>
        <w:rPr/>
        <w:t xml:space="preserve">(h) Sepsis;</w:t>
      </w:r>
    </w:p>
    <w:p>
      <w:pPr>
        <w:spacing w:before="0" w:after="0" w:line="408" w:lineRule="exact"/>
        <w:ind w:left="0" w:right="0" w:firstLine="576"/>
        <w:jc w:val="left"/>
      </w:pPr>
      <w:r>
        <w:rPr/>
        <w:t xml:space="preserve">(i) Congenital hypotonias associated with feeding difficulty or malabsorption;</w:t>
      </w:r>
    </w:p>
    <w:p>
      <w:pPr>
        <w:spacing w:before="0" w:after="0" w:line="408" w:lineRule="exact"/>
        <w:ind w:left="0" w:right="0" w:firstLine="576"/>
        <w:jc w:val="left"/>
      </w:pPr>
      <w:r>
        <w:rPr/>
        <w:t xml:space="preserve">(j) Renal disease requiring dialysis in the first year of life;</w:t>
      </w:r>
    </w:p>
    <w:p>
      <w:pPr>
        <w:spacing w:before="0" w:after="0" w:line="408" w:lineRule="exact"/>
        <w:ind w:left="0" w:right="0" w:firstLine="576"/>
        <w:jc w:val="left"/>
      </w:pPr>
      <w:r>
        <w:rPr/>
        <w:t xml:space="preserve">(k) Craniofacial anomalies;</w:t>
      </w:r>
    </w:p>
    <w:p>
      <w:pPr>
        <w:spacing w:before="0" w:after="0" w:line="408" w:lineRule="exact"/>
        <w:ind w:left="0" w:right="0" w:firstLine="576"/>
        <w:jc w:val="left"/>
      </w:pPr>
      <w:r>
        <w:rPr/>
        <w:t xml:space="preserve">(l) An immunologic deficiency;</w:t>
      </w:r>
    </w:p>
    <w:p>
      <w:pPr>
        <w:spacing w:before="0" w:after="0" w:line="408" w:lineRule="exact"/>
        <w:ind w:left="0" w:right="0" w:firstLine="576"/>
        <w:jc w:val="left"/>
      </w:pPr>
      <w:r>
        <w:rPr/>
        <w:t xml:space="preserve">(m) Neonatal abstinence syndrome;</w:t>
      </w:r>
    </w:p>
    <w:p>
      <w:pPr>
        <w:spacing w:before="0" w:after="0" w:line="408" w:lineRule="exact"/>
        <w:ind w:left="0" w:right="0" w:firstLine="576"/>
        <w:jc w:val="left"/>
      </w:pPr>
      <w:r>
        <w:rPr/>
        <w:t xml:space="preserve">(n) Any other serious congenital or acquired condition for which the use of pasteurized donor human milk and donor human milk derived products is medically necessary and supports the treatment and recovery of the child; or</w:t>
      </w:r>
    </w:p>
    <w:p>
      <w:pPr>
        <w:spacing w:before="0" w:after="0" w:line="408" w:lineRule="exact"/>
        <w:ind w:left="0" w:right="0" w:firstLine="576"/>
        <w:jc w:val="left"/>
      </w:pPr>
      <w:r>
        <w:rPr/>
        <w:t xml:space="preserve">(o) Any baby still inpatient within 72 hours of birth without sufficient human milk available.</w:t>
      </w:r>
    </w:p>
    <w:p>
      <w:pPr>
        <w:spacing w:before="0" w:after="0" w:line="408" w:lineRule="exact"/>
        <w:ind w:left="0" w:right="0" w:firstLine="576"/>
        <w:jc w:val="left"/>
      </w:pPr>
      <w:r>
        <w:rPr/>
        <w:t xml:space="preserve">(2) Donor human milk covered under this section must be obtained from a milk bank that meets minimum standards adopted by the department of health pursuant to section 4 of this act.</w:t>
      </w:r>
    </w:p>
    <w:p>
      <w:pPr>
        <w:spacing w:before="0" w:after="0" w:line="408" w:lineRule="exact"/>
        <w:ind w:left="0" w:right="0" w:firstLine="576"/>
        <w:jc w:val="left"/>
      </w:pPr>
      <w:r>
        <w:rPr/>
        <w:t xml:space="preserve">(3) The authority may require an enrollee to obtain expedited prior authorization to receive coverage for donor human milk as required under this section.</w:t>
      </w:r>
    </w:p>
    <w:p>
      <w:pPr>
        <w:spacing w:before="0" w:after="0" w:line="408" w:lineRule="exact"/>
        <w:ind w:left="0" w:right="0" w:firstLine="576"/>
        <w:jc w:val="left"/>
      </w:pPr>
      <w:r>
        <w:rPr/>
        <w:t xml:space="preserve">(4) In administering this program, the authority must seek any available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"Donor human milk" means human milk that has been contributed to a milk bank by one or more donors.</w:t>
      </w:r>
    </w:p>
    <w:p>
      <w:pPr>
        <w:spacing w:before="0" w:after="0" w:line="408" w:lineRule="exact"/>
        <w:ind w:left="0" w:right="0" w:firstLine="576"/>
        <w:jc w:val="left"/>
      </w:pPr>
      <w:r>
        <w:rPr/>
        <w:t xml:space="preserve">(b) "Milk bank" means an organization that engages in the procurement, processing, storage, distribution, or use of human milk contributed by donors.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shall adopt standards for ensuring milk bank safety. The standards adopted by the department must, at a minimum, consider the clinical, evidence-based guidelines established by a national accrediting organization. The standards must address donor screening, milk handling and processing, and recordkeeping. The department shall also review and consider requiring additional testing standards, including but not limited to testing for the presence of viruses, bacteria, and prescription and nonprescription drugs in donated milk.</w:t>
      </w:r>
    </w:p>
    <w:p/>
    <w:p>
      <w:pPr>
        <w:jc w:val="center"/>
      </w:pPr>
      <w:r>
        <w:rPr>
          <w:b/>
        </w:rPr>
        <w:t>--- END ---</w:t>
      </w:r>
    </w:p>
    <w:sectPr>
      <w:pgNumType w:start="1"/>
      <w:footerReference xmlns:r="http://schemas.openxmlformats.org/officeDocument/2006/relationships" r:id="R2704148f6d2849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5702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a6577b8f9a4cd4" /><Relationship Type="http://schemas.openxmlformats.org/officeDocument/2006/relationships/footer" Target="/word/footer1.xml" Id="R2704148f6d2849f9" /></Relationships>
</file>