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dbea49f97459f" /></Relationships>
</file>

<file path=word/document.xml><?xml version="1.0" encoding="utf-8"?>
<w:document xmlns:w="http://schemas.openxmlformats.org/wordprocessingml/2006/main">
  <w:body>
    <w:p>
      <w:r>
        <w:t>S-3802.4</w:t>
      </w:r>
    </w:p>
    <w:p>
      <w:pPr>
        <w:jc w:val="center"/>
      </w:pPr>
      <w:r>
        <w:t>_______________________________________________</w:t>
      </w:r>
    </w:p>
    <w:p/>
    <w:p>
      <w:pPr>
        <w:jc w:val="center"/>
      </w:pPr>
      <w:r>
        <w:rPr>
          <w:b/>
        </w:rPr>
        <w:t>SUBSTITUTE SENATE BILL 5597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Saldaña, Hunt, Conway, Das, Dhingra, Frockt, Hasegawa, Kuderer, Liias, Lovelett, Nguyen, Nobles, Pedersen, Stanford, and C. Wilson)</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voting rights act; amending RCW 29A.92.020, 29A.92.030, 29A.92.060, 29A.92.090, 29A.92.110, 29A.92.070, 29A.92.080, 29A.92.130, 36.32.010, 36.32.020, 36.32.030, and 29A.92.010; adding new sections to chapter 29A.92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VOTE DILUTION PROHIBITION AND COST RECOVERY MECHANISM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020</w:t>
      </w:r>
      <w:r>
        <w:rPr/>
        <w:t xml:space="preserve"> and 2018 c 113 s 104 are each amended to read as follows:</w:t>
      </w:r>
    </w:p>
    <w:p>
      <w:pPr>
        <w:spacing w:before="0" w:after="0" w:line="408" w:lineRule="exact"/>
        <w:ind w:left="0" w:right="0" w:firstLine="576"/>
        <w:jc w:val="left"/>
      </w:pPr>
      <w:r>
        <w:t>((</w:t>
      </w:r>
      <w:r>
        <w:rPr>
          <w:strike/>
        </w:rPr>
        <w:t xml:space="preserve">As</w:t>
      </w:r>
      <w:r>
        <w:t>))</w:t>
      </w:r>
      <w:r>
        <w:rPr/>
        <w:t xml:space="preserve"> </w:t>
      </w:r>
      <w:r>
        <w:rPr>
          <w:u w:val="single"/>
        </w:rPr>
        <w:t xml:space="preserve">It is a violation of this chapter for a political subdivision to impose a method of electing its governing body that constitutes vote dilution as</w:t>
      </w:r>
      <w:r>
        <w:rPr/>
        <w:t xml:space="preserve"> provided in RCW 29A.92.030</w:t>
      </w:r>
      <w:r>
        <w:t>((</w:t>
      </w:r>
      <w:r>
        <w:rPr>
          <w:strike/>
        </w:rPr>
        <w:t xml:space="preserve">, no method of electing the governing body of a political subdivision may be imposed or applied in a manner that impairs the ability of members of a protected class or classes to have an equal opportunity to elect candidates of their choice as a result of the dilution or abridgment of the rights of voters who are members of a protected class or classes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w:t>
      </w:r>
      <w:r>
        <w:t>((</w:t>
      </w:r>
      <w:r>
        <w:rPr>
          <w:strike/>
        </w:rPr>
        <w:t xml:space="preserve">is</w:t>
      </w:r>
      <w:r>
        <w:t>))</w:t>
      </w:r>
      <w:r>
        <w:rPr/>
        <w:t xml:space="preserve"> </w:t>
      </w:r>
      <w:r>
        <w:rPr>
          <w:u w:val="single"/>
        </w:rPr>
        <w:t xml:space="preserve">commits vote dilution and shall be found</w:t>
      </w:r>
      <w:r>
        <w:rPr/>
        <w:t xml:space="preserve">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rPr>
          <w:u w:val="single"/>
        </w:rPr>
        <w:t xml:space="preserve">The equal opportunity to elect shall be assessed pragmatically, based on local election conditions, and may include crossover districts. No single factor is dispositive or necessary to establish a violation of this section.</w:t>
      </w:r>
      <w:r>
        <w:rPr/>
        <w:t xml:space="preserve"> 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w:t>
      </w:r>
      <w:r>
        <w:t>((</w:t>
      </w:r>
      <w:r>
        <w:rPr>
          <w:strike/>
        </w:rPr>
        <w:t xml:space="preserve">The equal opportunity to elect shall be assessed pragmatically, based on local election conditions, and may include crossover districts.</w:t>
      </w:r>
      <w:r>
        <w:t>))</w:t>
      </w:r>
    </w:p>
    <w:p>
      <w:pPr>
        <w:spacing w:before="0" w:after="0" w:line="408" w:lineRule="exact"/>
        <w:ind w:left="0" w:right="0" w:firstLine="576"/>
        <w:jc w:val="left"/>
      </w:pPr>
      <w:r>
        <w:rPr/>
        <w:t xml:space="preserve">(3) In determining whether there is polarized voting under this chapter,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t xml:space="preserve">(5)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(6)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(7) A class of citizens protected by this section may include a cohesive coalition of members of different racial, ethnic, or language minority 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 </w:t>
      </w:r>
      <w:r>
        <w:rPr>
          <w:u w:val="single"/>
        </w:rPr>
        <w:t xml:space="preserve">or an organization whose membership includes or is likely to include a voter in the jurisdiction and who resides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 </w:t>
      </w:r>
      <w:r>
        <w:rPr>
          <w:u w:val="single"/>
        </w:rPr>
        <w:t xml:space="preserve">or organization whose membership includes or is likely to include a voter in the jurisdiction and who resides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cohesive coalition of members</w:t>
      </w:r>
      <w:r>
        <w:rPr/>
        <w:t xml:space="preserve"> of different protected classes may file an action jointly pursuant to this chapter if they demonstrate that the combined voting preferences of the multiple protected classes are polarized against the rest of the electorate.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has a dilutive effect on the protected class.</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have a dilutive effect on the protected class before court approval.</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 </w:t>
      </w:r>
      <w:r>
        <w:rPr>
          <w:u w:val="single"/>
        </w:rPr>
        <w:t xml:space="preserve">or organization</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 </w:t>
      </w:r>
      <w:r>
        <w:rPr>
          <w:u w:val="single"/>
        </w:rPr>
        <w:t xml:space="preserve">or organization's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 organization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 organization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 </w:t>
      </w:r>
      <w:r>
        <w:rPr>
          <w:u w:val="single"/>
        </w:rPr>
        <w:t xml:space="preserve">or organization whose membership includes or is likely to include a voter in the jurisdiction and who resides in the political subdivision</w:t>
      </w:r>
      <w:r>
        <w:rPr/>
        <w:t xml:space="preserve"> may file an action under this chapter if, </w:t>
      </w:r>
      <w:r>
        <w:t>((</w:t>
      </w:r>
      <w:r>
        <w:rPr>
          <w:strike/>
        </w:rPr>
        <w:t xml:space="preserve">one hundred eighty</w:t>
      </w:r>
      <w:r>
        <w:t>))</w:t>
      </w:r>
      <w:r>
        <w:rPr/>
        <w:t xml:space="preserve"> </w:t>
      </w:r>
      <w:r>
        <w:rPr>
          <w:u w:val="single"/>
        </w:rPr>
        <w:t xml:space="preserve">50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 </w:t>
      </w:r>
      <w:r>
        <w:rPr>
          <w:u w:val="single"/>
        </w:rPr>
        <w:t xml:space="preserve">or organizations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 organizations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 organizations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 </w:t>
      </w:r>
      <w:r>
        <w:t>((</w:t>
      </w:r>
      <w:r>
        <w:rPr>
          <w:strike/>
        </w:rPr>
        <w:t xml:space="preserve">No</w:t>
      </w:r>
      <w:r>
        <w:t>))</w:t>
      </w:r>
      <w:r>
        <w:rPr/>
        <w:t xml:space="preserve"> </w:t>
      </w:r>
      <w:r>
        <w:rPr>
          <w:u w:val="single"/>
        </w:rPr>
        <w:t xml:space="preserve">Except as provided in RCW 29A.92.070(5) and 29A.92.080(4), no</w:t>
      </w:r>
      <w:r>
        <w:rPr/>
        <w:t xml:space="preserve"> fees or costs may be awarded if no action is filed.</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 at the time the suit for interim attorneys' fees is filed.</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PRECLEARANCE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"Covered jurisdiction" means:</w:t>
      </w:r>
    </w:p>
    <w:p>
      <w:pPr>
        <w:spacing w:before="0" w:after="0" w:line="408" w:lineRule="exact"/>
        <w:ind w:left="0" w:right="0" w:firstLine="576"/>
        <w:jc w:val="left"/>
      </w:pPr>
      <w:r>
        <w:rPr/>
        <w:t xml:space="preserve">(i) Any of the following types of political subdivision that are determined pursuant to subsection (7) of this section to contain more than one racial or ethnic group, or at least one language minority group, which constitutes at least 10 percent of the subdivision's voting age population:</w:t>
      </w:r>
    </w:p>
    <w:p>
      <w:pPr>
        <w:spacing w:before="0" w:after="0" w:line="408" w:lineRule="exact"/>
        <w:ind w:left="0" w:right="0" w:firstLine="576"/>
        <w:jc w:val="left"/>
      </w:pPr>
      <w:r>
        <w:rPr/>
        <w:t xml:space="preserve">(A) A city with at least 10,000 residents;</w:t>
      </w:r>
    </w:p>
    <w:p>
      <w:pPr>
        <w:spacing w:before="0" w:after="0" w:line="408" w:lineRule="exact"/>
        <w:ind w:left="0" w:right="0" w:firstLine="576"/>
        <w:jc w:val="left"/>
      </w:pPr>
      <w:r>
        <w:rPr/>
        <w:t xml:space="preserve">(B) A county with at least 50,000 residents; or</w:t>
      </w:r>
    </w:p>
    <w:p>
      <w:pPr>
        <w:spacing w:before="0" w:after="0" w:line="408" w:lineRule="exact"/>
        <w:ind w:left="0" w:right="0" w:firstLine="576"/>
        <w:jc w:val="left"/>
      </w:pPr>
      <w:r>
        <w:rPr/>
        <w:t xml:space="preserve">(C) Any port district;</w:t>
      </w:r>
    </w:p>
    <w:p>
      <w:pPr>
        <w:spacing w:before="0" w:after="0" w:line="408" w:lineRule="exact"/>
        <w:ind w:left="0" w:right="0" w:firstLine="576"/>
        <w:jc w:val="left"/>
      </w:pPr>
      <w:r>
        <w:rPr/>
        <w:t xml:space="preserve">(ii) A school district with at least 2,000 students;</w:t>
      </w:r>
    </w:p>
    <w:p>
      <w:pPr>
        <w:spacing w:before="0" w:after="0" w:line="408" w:lineRule="exact"/>
        <w:ind w:left="0" w:right="0" w:firstLine="576"/>
        <w:jc w:val="left"/>
      </w:pPr>
      <w:r>
        <w:rPr/>
        <w:t xml:space="preserve">(iii) A political subdivision which, within the previous 25 years, has become subject to a court order or government enforcement action based upon a finding of any violation of this chapter, the federal voting rights act, the Fifteenth Amendment to the United States Constitution, or a voting-related violation of the Fourteenth Amendment to the United States Constitution;</w:t>
      </w:r>
    </w:p>
    <w:p>
      <w:pPr>
        <w:spacing w:before="0" w:after="0" w:line="408" w:lineRule="exact"/>
        <w:ind w:left="0" w:right="0" w:firstLine="576"/>
        <w:jc w:val="left"/>
      </w:pPr>
      <w:r>
        <w:rPr/>
        <w:t xml:space="preserve">(iv) A political subdivision which, within the previous five years, has failed to comply with its obligations to provide data or information to the repository, as stated in section 10 of this act; or</w:t>
      </w:r>
    </w:p>
    <w:p>
      <w:pPr>
        <w:spacing w:before="0" w:after="0" w:line="408" w:lineRule="exact"/>
        <w:ind w:left="0" w:right="0" w:firstLine="576"/>
        <w:jc w:val="left"/>
      </w:pPr>
      <w:r>
        <w:rPr/>
        <w:t xml:space="preserve">(v) A political subdivision which, within the previous 25 years, has become subject to at least three court orders or government enforcement actions based upon a finding of any violation of state or federal civil rights law or the Fourteenth Amendment to the United States Constitution concerning discrimination against members of a protected class.</w:t>
      </w:r>
    </w:p>
    <w:p>
      <w:pPr>
        <w:spacing w:before="0" w:after="0" w:line="408" w:lineRule="exact"/>
        <w:ind w:left="0" w:right="0" w:firstLine="576"/>
        <w:jc w:val="left"/>
      </w:pPr>
      <w:r>
        <w:rPr/>
        <w:t xml:space="preserve">(b) "Covered practice" means:</w:t>
      </w:r>
    </w:p>
    <w:p>
      <w:pPr>
        <w:spacing w:before="0" w:after="0" w:line="408" w:lineRule="exact"/>
        <w:ind w:left="0" w:right="0" w:firstLine="576"/>
        <w:jc w:val="left"/>
      </w:pPr>
      <w:r>
        <w:rPr/>
        <w:t xml:space="preserve">(i) Any change to the method of election of members of a governing body by adding seats elected at large or by converting one or more seats elected from a single-member district to one or more at large seats or seats from a multimember district;</w:t>
      </w:r>
    </w:p>
    <w:p>
      <w:pPr>
        <w:spacing w:before="0" w:after="0" w:line="408" w:lineRule="exact"/>
        <w:ind w:left="0" w:right="0" w:firstLine="576"/>
        <w:jc w:val="left"/>
      </w:pPr>
      <w:r>
        <w:rPr/>
        <w:t xml:space="preserve">(ii) Any change, or series of changes within a 12-month period, to the boundaries of the covered jurisdiction that reduces by more than five percentage points the proportion of the jurisdiction's voting age population that is composed of members of a single racial or language-minority group, as determined by the most recent American community survey data;</w:t>
      </w:r>
    </w:p>
    <w:p>
      <w:pPr>
        <w:spacing w:before="0" w:after="0" w:line="408" w:lineRule="exact"/>
        <w:ind w:left="0" w:right="0" w:firstLine="576"/>
        <w:jc w:val="left"/>
      </w:pPr>
      <w:r>
        <w:rPr/>
        <w:t xml:space="preserve">(iii) Any change to the boundaries of election districts or wards in the covered jurisdiction;</w:t>
      </w:r>
    </w:p>
    <w:p>
      <w:pPr>
        <w:spacing w:before="0" w:after="0" w:line="408" w:lineRule="exact"/>
        <w:ind w:left="0" w:right="0" w:firstLine="576"/>
        <w:jc w:val="left"/>
      </w:pPr>
      <w:r>
        <w:rPr/>
        <w:t xml:space="preserve">(iv) Any change that restricts the ability of any person to provide interpreter services to voters in any language other than English or which limits or impairs the creation or distribution of voting materials in any language other than English;</w:t>
      </w:r>
    </w:p>
    <w:p>
      <w:pPr>
        <w:spacing w:before="0" w:after="0" w:line="408" w:lineRule="exact"/>
        <w:ind w:left="0" w:right="0" w:firstLine="576"/>
        <w:jc w:val="left"/>
      </w:pPr>
      <w:r>
        <w:rPr/>
        <w:t xml:space="preserve">(v) Any change that reduces the number of or consolidates or relocates voting centers or ballot drop boxes in the covered jurisdiction or on an Indian reservation, except where permitted by law in the event of an emergency; or</w:t>
      </w:r>
    </w:p>
    <w:p>
      <w:pPr>
        <w:spacing w:before="0" w:after="0" w:line="408" w:lineRule="exact"/>
        <w:ind w:left="0" w:right="0" w:firstLine="576"/>
        <w:jc w:val="left"/>
      </w:pPr>
      <w:r>
        <w:rPr/>
        <w:t xml:space="preserve">(vi) Any change to the covered jurisdiction's plan of government, including a change to or in the framing of a jurisdiction's charter.</w:t>
      </w:r>
    </w:p>
    <w:p>
      <w:pPr>
        <w:spacing w:before="0" w:after="0" w:line="408" w:lineRule="exact"/>
        <w:ind w:left="0" w:right="0" w:firstLine="576"/>
        <w:jc w:val="left"/>
      </w:pPr>
      <w:r>
        <w:rPr/>
        <w:t xml:space="preserve">(2)(a) Prior to enacting or seeking to administer any voting qualification or prerequisite to voting, or any standard, practice, or procedure with respect to voting, that is a covered practice, the governing body of a covered jurisdiction shall either:</w:t>
      </w:r>
    </w:p>
    <w:p>
      <w:pPr>
        <w:spacing w:before="0" w:after="0" w:line="408" w:lineRule="exact"/>
        <w:ind w:left="0" w:right="0" w:firstLine="576"/>
        <w:jc w:val="left"/>
      </w:pPr>
      <w:r>
        <w:rPr/>
        <w:t xml:space="preserve">(i) Institute an action in Thurston county superior court for a declaratory judgment or, if the jurisdiction is located within Thurston county, institute an action in King county superior court for a declaratory judgment; or</w:t>
      </w:r>
    </w:p>
    <w:p>
      <w:pPr>
        <w:spacing w:before="0" w:after="0" w:line="408" w:lineRule="exact"/>
        <w:ind w:left="0" w:right="0" w:firstLine="576"/>
        <w:jc w:val="left"/>
      </w:pPr>
      <w:r>
        <w:rPr/>
        <w:t xml:space="preserve">(ii) Submit such covered practice to the attorney general for issuance of a certification that no objection exists to the enactment or administration by the covered jurisdiction of the covered practice.</w:t>
      </w:r>
    </w:p>
    <w:p>
      <w:pPr>
        <w:spacing w:before="0" w:after="0" w:line="408" w:lineRule="exact"/>
        <w:ind w:left="0" w:right="0" w:firstLine="576"/>
        <w:jc w:val="left"/>
      </w:pPr>
      <w:r>
        <w:rPr/>
        <w:t xml:space="preserve">(b) The superior court shall issue the declaratory judgment or, if applicable, the attorney general shall issue a certification of no objection, only if the covered practice:</w:t>
      </w:r>
    </w:p>
    <w:p>
      <w:pPr>
        <w:spacing w:before="0" w:after="0" w:line="408" w:lineRule="exact"/>
        <w:ind w:left="0" w:right="0" w:firstLine="576"/>
        <w:jc w:val="left"/>
      </w:pPr>
      <w:r>
        <w:rPr/>
        <w:t xml:space="preserve">(i) Does not violate RCW 29A.92.020; and</w:t>
      </w:r>
    </w:p>
    <w:p>
      <w:pPr>
        <w:spacing w:before="0" w:after="0" w:line="408" w:lineRule="exact"/>
        <w:ind w:left="0" w:right="0" w:firstLine="576"/>
        <w:jc w:val="left"/>
      </w:pPr>
      <w:r>
        <w:rPr/>
        <w:t xml:space="preserve">(ii) Will not result in the retrogression in the position of persons based on race, color, or membership in a language-minority group such that the covered practice does not have the purpose or effect of diminishing the ability of any citizen on account of race, color, or membership in a language-minority group to participate in the electoral process or elect their preferred candidates of choice.</w:t>
      </w:r>
    </w:p>
    <w:p>
      <w:pPr>
        <w:spacing w:before="0" w:after="0" w:line="408" w:lineRule="exact"/>
        <w:ind w:left="0" w:right="0" w:firstLine="576"/>
        <w:jc w:val="left"/>
      </w:pPr>
      <w:r>
        <w:rPr/>
        <w:t xml:space="preserve">(c) The attorney general, or any person whose opportunity to vote is affected by a covered practice that has been enacted or administered by a covered jurisdiction, may institute an action in superior court to compel the governing body of the jurisdiction to institute an action for a declaratory judgment or to seek issuance of a certification of no objection pursuant to this subsection.</w:t>
      </w:r>
    </w:p>
    <w:p>
      <w:pPr>
        <w:spacing w:before="0" w:after="0" w:line="408" w:lineRule="exact"/>
        <w:ind w:left="0" w:right="0" w:firstLine="576"/>
        <w:jc w:val="left"/>
      </w:pPr>
      <w:r>
        <w:rPr/>
        <w:t xml:space="preserve">(3)(a) No qualification, prerequisite, standard, practice, or procedure that is a covered practice is effective until the superior court has entered a declaratory judgment or the attorney general has issued a certification of no objection.</w:t>
      </w:r>
    </w:p>
    <w:p>
      <w:pPr>
        <w:spacing w:before="0" w:after="0" w:line="408" w:lineRule="exact"/>
        <w:ind w:left="0" w:right="0" w:firstLine="576"/>
        <w:jc w:val="left"/>
      </w:pPr>
      <w:r>
        <w:rPr/>
        <w:t xml:space="preserve">(b) A certification of no objection is deemed to have been issued if:</w:t>
      </w:r>
    </w:p>
    <w:p>
      <w:pPr>
        <w:spacing w:before="0" w:after="0" w:line="408" w:lineRule="exact"/>
        <w:ind w:left="0" w:right="0" w:firstLine="576"/>
        <w:jc w:val="left"/>
      </w:pPr>
      <w:r>
        <w:rPr/>
        <w:t xml:space="preserve">(i) The attorney general does not issue an objection within:</w:t>
      </w:r>
    </w:p>
    <w:p>
      <w:pPr>
        <w:spacing w:before="0" w:after="0" w:line="408" w:lineRule="exact"/>
        <w:ind w:left="0" w:right="0" w:firstLine="576"/>
        <w:jc w:val="left"/>
      </w:pPr>
      <w:r>
        <w:rPr/>
        <w:t xml:space="preserve">(A) Thirty days of submission of any covered policy concerning designation of a site as a voting center or removal of a ballot drop box; or</w:t>
      </w:r>
    </w:p>
    <w:p>
      <w:pPr>
        <w:spacing w:before="0" w:after="0" w:line="408" w:lineRule="exact"/>
        <w:ind w:left="0" w:right="0" w:firstLine="576"/>
        <w:jc w:val="left"/>
      </w:pPr>
      <w:r>
        <w:rPr/>
        <w:t xml:space="preserve">(B) Within 60 days of the governing body's submission of any other covered policy; or</w:t>
      </w:r>
    </w:p>
    <w:p>
      <w:pPr>
        <w:spacing w:before="0" w:after="0" w:line="408" w:lineRule="exact"/>
        <w:ind w:left="0" w:right="0" w:firstLine="576"/>
        <w:jc w:val="left"/>
      </w:pPr>
      <w:r>
        <w:rPr/>
        <w:t xml:space="preserve">(ii) The attorney general affirmatively indicates that no such objection will be made, upon a showing of good cause to facilitate an expedited approval within 60 days of the governing body's submission.</w:t>
      </w:r>
    </w:p>
    <w:p>
      <w:pPr>
        <w:spacing w:before="0" w:after="0" w:line="408" w:lineRule="exact"/>
        <w:ind w:left="0" w:right="0" w:firstLine="576"/>
        <w:jc w:val="left"/>
      </w:pPr>
      <w:r>
        <w:rPr/>
        <w:t xml:space="preserve">(c) An affirmative indication by the attorney general that no objection will be made, the attorney general's failure to object, or a declaratory judgment entered by the superior court pursuant to this section does not bar a subsequent action to enjoin enforcement of any qualification, prerequisite, standard, practice, or procedure.</w:t>
      </w:r>
    </w:p>
    <w:p>
      <w:pPr>
        <w:spacing w:before="0" w:after="0" w:line="408" w:lineRule="exact"/>
        <w:ind w:left="0" w:right="0" w:firstLine="576"/>
        <w:jc w:val="left"/>
      </w:pPr>
      <w:r>
        <w:rPr/>
        <w:t xml:space="preserve">(d) If the attorney general affirmatively indicates that no objection will be made within the 60-day period following the receipt of the governing body's submission, the attorney general may reserve the right to reexamine the submission if additional information that would otherwise require objection in accordance with this section comes to his or her attention during the remainder of the 60-day period.</w:t>
      </w:r>
    </w:p>
    <w:p>
      <w:pPr>
        <w:spacing w:before="0" w:after="0" w:line="408" w:lineRule="exact"/>
        <w:ind w:left="0" w:right="0" w:firstLine="576"/>
        <w:jc w:val="left"/>
      </w:pPr>
      <w:r>
        <w:rPr/>
        <w:t xml:space="preserve">(e) For any covered policy concerning the establishment of a district-based election system, apportionment plans, or a change to the form of government of a political subdivision, the attorney general may invoke up to two extensions of 90 days each.</w:t>
      </w:r>
    </w:p>
    <w:p>
      <w:pPr>
        <w:spacing w:before="0" w:after="0" w:line="408" w:lineRule="exact"/>
        <w:ind w:left="0" w:right="0" w:firstLine="576"/>
        <w:jc w:val="left"/>
      </w:pPr>
      <w:r>
        <w:rPr/>
        <w:t xml:space="preserve">(4) If the attorney general objects to a covered practice submitted by a covered jurisdiction, the governing body of such jurisdiction may file an appeal to the objection in Thurston county superior court.</w:t>
      </w:r>
    </w:p>
    <w:p>
      <w:pPr>
        <w:spacing w:before="0" w:after="0" w:line="408" w:lineRule="exact"/>
        <w:ind w:left="0" w:right="0" w:firstLine="576"/>
        <w:jc w:val="left"/>
      </w:pPr>
      <w:r>
        <w:rPr/>
        <w:t xml:space="preserve">(5) If the attorney general issues a certification of no objection to a covered practice submitted by a covered jurisdiction, any person whose opportunity to vote is affected by the covered practice may file an action in superior court to appeal the attorney general's issuance of a certification of no objection.</w:t>
      </w:r>
    </w:p>
    <w:p>
      <w:pPr>
        <w:spacing w:before="0" w:after="0" w:line="408" w:lineRule="exact"/>
        <w:ind w:left="0" w:right="0" w:firstLine="576"/>
        <w:jc w:val="left"/>
      </w:pPr>
      <w:r>
        <w:rPr/>
        <w:t xml:space="preserve">(6) In any action filed pursuant to this subsection, the superior court shall enjoin the enactment or administration of the covered practice that is the subject of the action unless it determines that the covered practice neither has the purpose or effect of denying or abridging the right to vote on account of race or color or membership in a language-minority group nor will it result in the retrogression in the position of members of a racial or ethnic group with respect to their effective exercise of the electoral franchise.</w:t>
      </w:r>
    </w:p>
    <w:p>
      <w:pPr>
        <w:spacing w:before="0" w:after="0" w:line="408" w:lineRule="exact"/>
        <w:ind w:left="0" w:right="0" w:firstLine="576"/>
        <w:jc w:val="left"/>
      </w:pPr>
      <w:r>
        <w:rPr/>
        <w:t xml:space="preserve">(7) As early as practicable each calendar year, the secretary of state shall, in consultation with the attorney general, the office of financial management, and other relevant agencies, notify those political subdivisions which qualify as covered jurisdictions pursuant to subsection (1) of this section, based on the most recent American community survey data or other census data. The attorney general shall publish the list of these counties, cities, and towns on a website established and maintained for this purpose. A determination made pursuant to this subsection is effective upon publication.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DATA COLLECTION AND REQUIRED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There shall be established within the University of Washington a repository of the data necessary to assist the state and all political subdivisions with evaluating whether and to what extent existing laws and practices with respect to voting and elections are consistent with the public policy expressed in this title, implementing best practices in voting and elections to achieve the purposes of this title, and to investigate potential infringements upon the right to vote.</w:t>
      </w:r>
    </w:p>
    <w:p>
      <w:pPr>
        <w:spacing w:before="0" w:after="0" w:line="408" w:lineRule="exact"/>
        <w:ind w:left="0" w:right="0" w:firstLine="576"/>
        <w:jc w:val="left"/>
      </w:pPr>
      <w:r>
        <w:rPr/>
        <w:t xml:space="preserve">(2) The operation of the repository shall be the responsibility of the director of the repository, hereinafter referred to in this title as the "director," who shall be employed by the University of Washington with doctoral level expertise in demography, statistical analysis, and electoral systems. The director shall be appointed by the governor.</w:t>
      </w:r>
    </w:p>
    <w:p>
      <w:pPr>
        <w:spacing w:before="0" w:after="0" w:line="408" w:lineRule="exact"/>
        <w:ind w:left="0" w:right="0" w:firstLine="576"/>
        <w:jc w:val="left"/>
      </w:pPr>
      <w:r>
        <w:rPr/>
        <w:t xml:space="preserve">(3) The director shall appoint such staff as are necessary to implement and maintain the repository.</w:t>
      </w:r>
    </w:p>
    <w:p>
      <w:pPr>
        <w:spacing w:before="0" w:after="0" w:line="408" w:lineRule="exact"/>
        <w:ind w:left="0" w:right="0" w:firstLine="576"/>
        <w:jc w:val="left"/>
      </w:pPr>
      <w:r>
        <w:rPr/>
        <w:t xml:space="preserve">(4) The repository shall maintain in electronic format at least the following data and records, where available, for at least the previous 12-year period:</w:t>
      </w:r>
    </w:p>
    <w:p>
      <w:pPr>
        <w:spacing w:before="0" w:after="0" w:line="408" w:lineRule="exact"/>
        <w:ind w:left="0" w:right="0" w:firstLine="576"/>
        <w:jc w:val="left"/>
      </w:pPr>
      <w:r>
        <w:rPr/>
        <w:t xml:space="preserve">(a)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(b) Election results at the precinct level for every statewide election and every election in every political subdivision;</w:t>
      </w:r>
    </w:p>
    <w:p>
      <w:pPr>
        <w:spacing w:before="0" w:after="0" w:line="408" w:lineRule="exact"/>
        <w:ind w:left="0" w:right="0" w:firstLine="576"/>
        <w:jc w:val="left"/>
      </w:pPr>
      <w:r>
        <w:rPr/>
        <w:t xml:space="preserve">(c)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(d) Contemporaneous maps, descriptions of boundaries, and shapefiles for election districts and precincts;</w:t>
      </w:r>
    </w:p>
    <w:p>
      <w:pPr>
        <w:spacing w:before="0" w:after="0" w:line="408" w:lineRule="exact"/>
        <w:ind w:left="0" w:right="0" w:firstLine="576"/>
        <w:jc w:val="left"/>
      </w:pPr>
      <w:r>
        <w:rPr/>
        <w:t xml:space="preserve">(e) Ballot rejection lists, curing lists, and reasoning for ballot rejection for every election in every political subdivision;</w:t>
      </w:r>
    </w:p>
    <w:p>
      <w:pPr>
        <w:spacing w:before="0" w:after="0" w:line="408" w:lineRule="exact"/>
        <w:ind w:left="0" w:right="0" w:firstLine="576"/>
        <w:jc w:val="left"/>
      </w:pPr>
      <w:r>
        <w:rPr/>
        <w:t xml:space="preserve">(f) Apportionment plans for every election in every political subdivision; and</w:t>
      </w:r>
    </w:p>
    <w:p>
      <w:pPr>
        <w:spacing w:before="0" w:after="0" w:line="408" w:lineRule="exact"/>
        <w:ind w:left="0" w:right="0" w:firstLine="576"/>
        <w:jc w:val="left"/>
      </w:pPr>
      <w:r>
        <w:rPr/>
        <w:t xml:space="preserve">(g) Any other data that the director deems advisable to maintain in furtherance of the purposes of this title.</w:t>
      </w:r>
    </w:p>
    <w:p>
      <w:pPr>
        <w:spacing w:before="0" w:after="0" w:line="408" w:lineRule="exact"/>
        <w:ind w:left="0" w:right="0" w:firstLine="576"/>
        <w:jc w:val="left"/>
      </w:pPr>
      <w:r>
        <w:rPr/>
        <w:t xml:space="preserve">(5)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t xml:space="preserve">(6)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t xml:space="preserve">(7) The repository shall prepare any estimates made pursuant to this section by applying the most advanced, peer-reviewed, and validated methodologies.</w:t>
      </w:r>
    </w:p>
    <w:p>
      <w:pPr>
        <w:spacing w:before="0" w:after="0" w:line="408" w:lineRule="exact"/>
        <w:ind w:left="0" w:right="0" w:firstLine="576"/>
        <w:jc w:val="left"/>
      </w:pPr>
      <w:r>
        <w:rPr/>
        <w:t xml:space="preserve">(8) On or before January 1, 2023, and every fifth year thereafter, the repository shall publish on its website and transmit to the state for dissemination to county auditors secretary of a list of political subdivisions required pursuant to section 203 of the federal voting rights act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t xml:space="preserve">(9)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(a) Election results at the election district level;</w:t>
      </w:r>
    </w:p>
    <w:p>
      <w:pPr>
        <w:spacing w:before="0" w:after="0" w:line="408" w:lineRule="exact"/>
        <w:ind w:left="0" w:right="0" w:firstLine="576"/>
        <w:jc w:val="left"/>
      </w:pPr>
      <w:r>
        <w:rPr/>
        <w:t xml:space="preserve">(b) Contemporaneous voter registration lists;</w:t>
      </w:r>
    </w:p>
    <w:p>
      <w:pPr>
        <w:spacing w:before="0" w:after="0" w:line="408" w:lineRule="exact"/>
        <w:ind w:left="0" w:right="0" w:firstLine="576"/>
        <w:jc w:val="left"/>
      </w:pPr>
      <w:r>
        <w:rPr/>
        <w:t xml:space="preserve">(c) Voter history files;</w:t>
      </w:r>
    </w:p>
    <w:p>
      <w:pPr>
        <w:spacing w:before="0" w:after="0" w:line="408" w:lineRule="exact"/>
        <w:ind w:left="0" w:right="0" w:firstLine="576"/>
        <w:jc w:val="left"/>
      </w:pPr>
      <w:r>
        <w:rPr/>
        <w:t xml:space="preserve">(d) Maps, descriptions, and shapefiles for election districts; and</w:t>
      </w:r>
    </w:p>
    <w:p>
      <w:pPr>
        <w:spacing w:before="0" w:after="0" w:line="408" w:lineRule="exact"/>
        <w:ind w:left="0" w:right="0" w:firstLine="576"/>
        <w:jc w:val="left"/>
      </w:pPr>
      <w:r>
        <w:rPr/>
        <w:t xml:space="preserve">(e) Lists of voting centers and student engagement hubs.</w:t>
      </w:r>
    </w:p>
    <w:p>
      <w:pPr>
        <w:spacing w:before="0" w:after="0" w:line="408" w:lineRule="exact"/>
        <w:ind w:left="0" w:right="0" w:firstLine="576"/>
        <w:jc w:val="left"/>
      </w:pPr>
      <w:r>
        <w:rPr/>
        <w:t xml:space="preserve">(10) Staff at the repository may provide nonpartisan technical assistance to political subdivisions, scholars, and the general public seeking to use the resources of the repository.</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PROVISIONS FOR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010</w:t>
      </w:r>
      <w:r>
        <w:rPr/>
        <w:t xml:space="preserve"> and 1990 c 252 s 1 are each amended to read as follows:</w:t>
      </w:r>
    </w:p>
    <w:p>
      <w:pPr>
        <w:spacing w:before="0" w:after="0" w:line="408" w:lineRule="exact"/>
        <w:ind w:left="0" w:right="0" w:firstLine="576"/>
        <w:jc w:val="left"/>
      </w:pPr>
      <w:r>
        <w:rPr/>
        <w:t xml:space="preserve">There is established in each county in this state a board of county commissioners. Except as provided in RCW </w:t>
      </w:r>
      <w:r>
        <w:rPr>
          <w:u w:val="single"/>
        </w:rPr>
        <w:t xml:space="preserve">36.32.020,</w:t>
      </w:r>
      <w:r>
        <w:rPr/>
        <w:t xml:space="preserve"> 36.32.055</w:t>
      </w:r>
      <w:r>
        <w:rPr>
          <w:u w:val="single"/>
        </w:rPr>
        <w:t xml:space="preserve">,</w:t>
      </w:r>
      <w:r>
        <w:rPr/>
        <w:t xml:space="preserve"> and 36.32.0552, each board of county commissioners shall consist of three qualified electors, two of whom shall constitute a quorum to do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w:t>
      </w:r>
      <w:r>
        <w:rPr>
          <w:u w:val="single"/>
        </w:rPr>
        <w:t xml:space="preserve">, including expanding from three to five commissioners,</w:t>
      </w:r>
      <w:r>
        <w:rPr/>
        <w:t xml:space="preserve">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2018 c 301 s 6 are each amended to read as follows:</w:t>
      </w:r>
    </w:p>
    <w:p>
      <w:pPr>
        <w:spacing w:before="0" w:after="0" w:line="408" w:lineRule="exact"/>
        <w:ind w:left="0" w:right="0" w:firstLine="576"/>
        <w:jc w:val="left"/>
      </w:pPr>
      <w:r>
        <w:rPr/>
        <w:t xml:space="preserve">(1) Except as provided otherwise in subsection (2) of this section, the terms of office of county commissioners shall be four years and shall extend until their successors are elected and qualified and assume office in accordance with RCW 29A.60.280. The terms of office of county commissioners shall be staggered so that either one or two commissioners are elected at a general election held in each even-numbered year.</w:t>
      </w:r>
    </w:p>
    <w:p>
      <w:pPr>
        <w:spacing w:before="0" w:after="0" w:line="408" w:lineRule="exact"/>
        <w:ind w:left="0" w:right="0" w:firstLine="576"/>
        <w:jc w:val="left"/>
      </w:pPr>
      <w:r>
        <w:rPr/>
        <w:t xml:space="preserve">(2)</w:t>
      </w:r>
      <w:r>
        <w:rPr>
          <w:u w:val="single"/>
        </w:rPr>
        <w:t xml:space="preserve">(a)</w:t>
      </w:r>
      <w:r>
        <w:rPr/>
        <w:t xml:space="preserve"> At the general election held in 2022, any noncharter county with a population of four hundred thousand or more must elect county commissioners in accordance with a districting plan adopted under RCW 36.32.054. Any county commissioner whose term is set to expire on or after January 1, 2023, is subject to the new election in accordance with the districting plan. The county commissioners shall begin their terms of office on January 1, 2023, and such terms shall be staggered terms, as designated in the districting plan.</w:t>
      </w:r>
    </w:p>
    <w:p>
      <w:pPr>
        <w:spacing w:before="0" w:after="0" w:line="408" w:lineRule="exact"/>
        <w:ind w:left="0" w:right="0" w:firstLine="576"/>
        <w:jc w:val="left"/>
      </w:pPr>
      <w:r>
        <w:rPr>
          <w:u w:val="single"/>
        </w:rPr>
        <w:t xml:space="preserve">(b) A county expanding to five commissioners pursuant to RCW 29A.92.040 must elect county commissioners and stagger their terms as designated in its districting plan.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 </w:t>
      </w:r>
      <w:r>
        <w:rPr>
          <w:u w:val="single"/>
        </w:rPr>
        <w:t xml:space="preserve">to the extent such case law does not violate the spirit, intent, and elements of this chapter</w:t>
      </w:r>
      <w:r>
        <w:rPr/>
        <w:t xml:space="preserv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"Crossover district" means a district where a protected class is a minority of the population but potentially large enough to elect candidates of choice with help from voters who are not members of the protected class who cross over to support a protected class's candidate of choice.</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 "Federal voting rights act" means the federal voting rights act of 1965, 52 U.S.C. 10301 et seq.</w:t>
      </w:r>
    </w:p>
    <w:p>
      <w:pPr>
        <w:spacing w:before="0" w:after="0" w:line="408" w:lineRule="exact"/>
        <w:ind w:left="0" w:right="0" w:firstLine="576"/>
        <w:jc w:val="left"/>
      </w:pPr>
      <w:r>
        <w:rPr>
          <w:u w:val="single"/>
        </w:rPr>
        <w:t xml:space="preserve">(5) "Plan of government" has the meaning defined in RCW 35A.01.070 for cities operating under the optional municipal code, or the structure of elected officials serving executive and legislative functions in other jurisdictions.</w:t>
      </w:r>
    </w:p>
    <w:p>
      <w:pPr>
        <w:spacing w:before="0" w:after="0" w:line="408" w:lineRule="exact"/>
        <w:ind w:left="0" w:right="0" w:firstLine="576"/>
        <w:jc w:val="left"/>
      </w:pPr>
      <w:r>
        <w:rPr>
          <w:u w:val="single"/>
        </w:rPr>
        <w:t xml:space="preserve">(6)</w:t>
      </w:r>
      <w:r>
        <w:rPr/>
        <w:t xml:space="preserve"> "Polarized voting" means voting in which there is a difference, as defined in case law regarding enforcement of the federal voting rights act</w:t>
      </w:r>
      <w:r>
        <w:t>((</w:t>
      </w:r>
      <w:r>
        <w:rPr>
          <w:strike/>
        </w:rPr>
        <w:t xml:space="preserve">, 52 U.S.C. 10301 et seq.,</w:t>
      </w:r>
      <w:r>
        <w:t>))</w:t>
      </w:r>
      <w:r>
        <w:rPr/>
        <w:t xml:space="preserv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"Protected class" means a class of voters who are members of </w:t>
      </w:r>
      <w:r>
        <w:t>((</w:t>
      </w:r>
      <w:r>
        <w:rPr>
          <w:strike/>
        </w:rPr>
        <w:t xml:space="preserve">a</w:t>
      </w:r>
      <w:r>
        <w:t>))</w:t>
      </w:r>
      <w:r>
        <w:rPr/>
        <w:t xml:space="preserve"> </w:t>
      </w:r>
      <w:r>
        <w:rPr>
          <w:u w:val="single"/>
        </w:rPr>
        <w:t xml:space="preserve">any</w:t>
      </w:r>
      <w:r>
        <w:rPr/>
        <w:t xml:space="preserve"> race, color, or language</w:t>
      </w:r>
      <w:r>
        <w:rPr>
          <w:u w:val="single"/>
        </w:rPr>
        <w:t xml:space="preserve">-</w:t>
      </w:r>
      <w:r>
        <w:rPr/>
        <w:t xml:space="preserve">minority group, as this class is referenced and defined in the federal voting rights act</w:t>
      </w:r>
      <w:r>
        <w:t>((</w:t>
      </w:r>
      <w:r>
        <w:rPr>
          <w:strike/>
        </w:rPr>
        <w:t xml:space="preserve">, 52 U.S.C. 10301 et seq</w:t>
      </w:r>
      <w:r>
        <w:t>))</w:t>
      </w:r>
      <w:r>
        <w:rPr/>
        <w:t xml:space="preserve">.</w:t>
      </w:r>
    </w:p>
    <w:p>
      <w:pPr>
        <w:spacing w:before="0" w:after="0" w:line="408" w:lineRule="exact"/>
        <w:ind w:left="0" w:right="0" w:firstLine="576"/>
        <w:jc w:val="left"/>
      </w:pPr>
      <w:r>
        <w:rPr>
          <w:u w:val="single"/>
        </w:rPr>
        <w:t xml:space="preserve">(9) "Retrogression" means diminution of the ability of a protected class to participate in the electoral process or elect candidates of their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9, and 14 of this act take effect January 1, 2023.</w:t>
      </w:r>
    </w:p>
    <w:p/>
    <w:p>
      <w:pPr>
        <w:jc w:val="center"/>
      </w:pPr>
      <w:r>
        <w:rPr>
          <w:b/>
        </w:rPr>
        <w:t>--- END ---</w:t>
      </w:r>
    </w:p>
    <w:sectPr>
      <w:pgNumType w:start="1"/>
      <w:footerReference xmlns:r="http://schemas.openxmlformats.org/officeDocument/2006/relationships" r:id="R53f98b30630345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ffd96f5784dae" /><Relationship Type="http://schemas.openxmlformats.org/officeDocument/2006/relationships/footer" Target="/word/footer1.xml" Id="R53f98b3063034589" /></Relationships>
</file>