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2c1afac8947d5" /></Relationships>
</file>

<file path=word/document.xml><?xml version="1.0" encoding="utf-8"?>
<w:document xmlns:w="http://schemas.openxmlformats.org/wordprocessingml/2006/main">
  <w:body>
    <w:p>
      <w:r>
        <w:t>S-3329.2</w:t>
      </w:r>
    </w:p>
    <w:p>
      <w:pPr>
        <w:jc w:val="center"/>
      </w:pPr>
      <w:r>
        <w:t>_______________________________________________</w:t>
      </w:r>
    </w:p>
    <w:p/>
    <w:p>
      <w:pPr>
        <w:jc w:val="center"/>
      </w:pPr>
      <w:r>
        <w:rPr>
          <w:b/>
        </w:rPr>
        <w:t>SENATE BILL 5594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Short, Wellman, Hasegawa, Padden, and Wagoner</w:t>
      </w:r>
    </w:p>
    <w:p/>
    <w:p>
      <w:r>
        <w:rPr>
          <w:t xml:space="preserve">Prefiled 12/23/21.</w:t>
        </w:rPr>
      </w:r>
      <w:r>
        <w:rPr>
          <w:t xml:space="preserve">Read first time 01/10/22.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 instruction in awareness of bone marrow donation; amending RCW 28A.710.040 and 28A.715.020;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it has previously found that every three minutes an American child or adult is diagnosed with a potentially fatal blood disease. For many of these individuals, bone marrow transplantation is the only chance for survival. The legislature finds that 70 percent of patients do not have a fully matched donor in their family and rely on a registry to find an unrelated donor. The legislature further finds that 40 to 71 percent of individuals with diverse heritage never find a bone marrow match. The ultimate key to survivability lies in increasing the number of bone marrow donors across all ethnicities, which will increase the potential for a suitable match.</w:t>
      </w:r>
    </w:p>
    <w:p>
      <w:pPr>
        <w:spacing w:before="0" w:after="0" w:line="408" w:lineRule="exact"/>
        <w:ind w:left="0" w:right="0" w:firstLine="576"/>
        <w:jc w:val="left"/>
      </w:pPr>
      <w:r>
        <w:rPr/>
        <w:t xml:space="preserve">(2) It is the intent of the legislature to continue to increase awareness of bone marrow donation by requiring school districts, charter schools, and state-tribal compact schools to offer instruction on this topic to high school students in at least one health class necessary for graduation. The legislature also intends for this instruction to be optional for elementary and middle school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Each school district that serves students in any of grades nine through 12 must offer instruction in awareness of bone marrow donation to students as provided in this section. Beginning with the 2022-23 school year, instruction in awareness of bone marrow donation must be included in at least one health class necessary for graduation.</w:t>
      </w:r>
    </w:p>
    <w:p>
      <w:pPr>
        <w:spacing w:before="0" w:after="0" w:line="408" w:lineRule="exact"/>
        <w:ind w:left="0" w:right="0" w:firstLine="576"/>
        <w:jc w:val="left"/>
      </w:pPr>
      <w:r>
        <w:rPr/>
        <w:t xml:space="preserve">(2)(a) Instruction in awareness of bone marrow donation under this section must be an instructional program provided by the national marrow donor program or other relevant nationally recognized organization.</w:t>
      </w:r>
    </w:p>
    <w:p>
      <w:pPr>
        <w:spacing w:before="0" w:after="0" w:line="408" w:lineRule="exact"/>
        <w:ind w:left="0" w:right="0" w:firstLine="576"/>
        <w:jc w:val="left"/>
      </w:pPr>
      <w:r>
        <w:rPr/>
        <w:t xml:space="preserve">(b) The office of the superintendent of public instruction must post on its website a link to the instructional program described in this subsection (2).</w:t>
      </w:r>
    </w:p>
    <w:p>
      <w:pPr>
        <w:spacing w:before="0" w:after="0" w:line="408" w:lineRule="exact"/>
        <w:ind w:left="0" w:right="0" w:firstLine="576"/>
        <w:jc w:val="left"/>
      </w:pPr>
      <w:r>
        <w:rPr/>
        <w:t xml:space="preserve">(3) Each school district that serves students in any of grades kindergarten through eight may offer instruction in awareness of bone marrow donation to students. The instruction described in subsection (2) of this section may be adapted to be age appropriate.</w:t>
      </w:r>
    </w:p>
    <w:p>
      <w:pPr>
        <w:spacing w:before="0" w:after="0" w:line="408" w:lineRule="exact"/>
        <w:ind w:left="0" w:right="0" w:firstLine="576"/>
        <w:jc w:val="left"/>
      </w:pPr>
      <w:r>
        <w:rPr/>
        <w:t xml:space="preserve">(4) School districts may offer the instruction in awareness of bone marrow donation directly or arrange for the instruction to be provided by available community-based providers. The instruction is not required to be provided by certificated instructional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2018 c 75 s 9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t xml:space="preserve">(c) </w:t>
      </w:r>
      <w:r>
        <w:rPr>
          <w:u w:val="single"/>
        </w:rPr>
        <w:t xml:space="preserve">Provide instruction in awareness of bone marrow donation that satisfies the requirements of section 2 of this act;</w:t>
      </w:r>
    </w:p>
    <w:p>
      <w:pPr>
        <w:spacing w:before="0" w:after="0" w:line="408" w:lineRule="exact"/>
        <w:ind w:left="0" w:right="0" w:firstLine="576"/>
        <w:jc w:val="left"/>
      </w:pPr>
      <w:r>
        <w:rPr>
          <w:u w:val="single"/>
        </w:rPr>
        <w:t xml:space="preserve">(d)</w:t>
      </w:r>
      <w:r>
        <w:rPr/>
        <w:t xml:space="preserve"> Comply with the screening and intervention requirements under RCW 28A.320.260;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Comply with the employee record check requirements in RCW 28A.400.303;</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Comply with the annual performance report under RCW 28A.655.110;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Be subject to the performance improvement goals adopted by the state board of education under RCW 28A.305.130;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Comply with the open public meetings act in chapter 42.30 RCW and public records requirements in chapter 42.56 RCW;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020</w:t>
      </w:r>
      <w:r>
        <w:rPr/>
        <w:t xml:space="preserve"> and 2013 c 242 s 3 are each amended to read as follows:</w:t>
      </w:r>
    </w:p>
    <w:p>
      <w:pPr>
        <w:spacing w:before="0" w:after="0" w:line="408" w:lineRule="exact"/>
        <w:ind w:left="0" w:right="0" w:firstLine="576"/>
        <w:jc w:val="left"/>
      </w:pPr>
      <w:r>
        <w:rPr/>
        <w:t xml:space="preserve">(1) A school that is the subject of a state-tribal education compact must operate according to the terms of its compact executed in accordance with RCW 28A.715.010.</w:t>
      </w:r>
    </w:p>
    <w:p>
      <w:pPr>
        <w:spacing w:before="0" w:after="0" w:line="408" w:lineRule="exact"/>
        <w:ind w:left="0" w:right="0" w:firstLine="576"/>
        <w:jc w:val="left"/>
      </w:pPr>
      <w:r>
        <w:rPr/>
        <w:t xml:space="preserve">(2) Schools that are the subjects of state-tribal education compacts are exempt from all state statutes and rules applicable to school districts and school district boards of directors, except those statutes and rules made applicable under this chapter and in the state-tribal education compact executed under RCW 28A.715.010.</w:t>
      </w:r>
    </w:p>
    <w:p>
      <w:pPr>
        <w:spacing w:before="0" w:after="0" w:line="408" w:lineRule="exact"/>
        <w:ind w:left="0" w:right="0" w:firstLine="576"/>
        <w:jc w:val="left"/>
      </w:pPr>
      <w:r>
        <w:rPr/>
        <w:t xml:space="preserve">(3) Each school that is the subject of a state-tribal education compact must:</w:t>
      </w:r>
    </w:p>
    <w:p>
      <w:pPr>
        <w:spacing w:before="0" w:after="0" w:line="408" w:lineRule="exact"/>
        <w:ind w:left="0" w:right="0" w:firstLine="576"/>
        <w:jc w:val="left"/>
      </w:pPr>
      <w:r>
        <w:rPr/>
        <w:t xml:space="preserve">(a) Provide a curriculum and conduct an educational program that satisfies the requirements of RCW 28A.150.200 through 28A.150.240 and 28A.230.010 through 28A.230.195;</w:t>
      </w:r>
    </w:p>
    <w:p>
      <w:pPr>
        <w:spacing w:before="0" w:after="0" w:line="408" w:lineRule="exact"/>
        <w:ind w:left="0" w:right="0" w:firstLine="576"/>
        <w:jc w:val="left"/>
      </w:pPr>
      <w:r>
        <w:rPr/>
        <w:t xml:space="preserve">(b) </w:t>
      </w:r>
      <w:r>
        <w:rPr>
          <w:u w:val="single"/>
        </w:rPr>
        <w:t xml:space="preserve">Provide instruction in awareness of bone marrow donation that satisfies the requirements of section 2 of this act;</w:t>
      </w:r>
    </w:p>
    <w:p>
      <w:pPr>
        <w:spacing w:before="0" w:after="0" w:line="408" w:lineRule="exact"/>
        <w:ind w:left="0" w:right="0" w:firstLine="576"/>
        <w:jc w:val="left"/>
      </w:pPr>
      <w:r>
        <w:rPr>
          <w:u w:val="single"/>
        </w:rPr>
        <w:t xml:space="preserve">(c)</w:t>
      </w:r>
      <w:r>
        <w:rPr/>
        <w:t xml:space="preserve"> Employ certificated instructional staff as required in RCW 28A.410.010, however such schools may hire noncertificated instructional staff of unusual competence and in exceptional cases as specified in RCW 28A.150.203(7);</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Comply with the employee record check requirements in RCW 28A.400.303 and the mandatory termination and notification provisions of RCW 28A.400.320, 28A.400.330, 28A.405.470, and 28A.405.475;</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Comply with nondiscrimination laws;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Adhere to generally accepted accounting principles and be subject to financial examinations and audits as determined by the state auditor, including annual audits for legal and fiscal compliance;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Be subject to and comply with legislation enacted after July 28, 2013, governing the operation and management of schools that are the subject of a state-tribal education compact.</w:t>
      </w:r>
    </w:p>
    <w:p>
      <w:pPr>
        <w:spacing w:before="0" w:after="0" w:line="408" w:lineRule="exact"/>
        <w:ind w:left="0" w:right="0" w:firstLine="576"/>
        <w:jc w:val="left"/>
      </w:pPr>
      <w:r>
        <w:rPr/>
        <w:t xml:space="preserve">(4) No such school may engage in any sectarian practices in its educational program, admissions or employment policies, or operations.</w:t>
      </w:r>
    </w:p>
    <w:p>
      <w:pPr>
        <w:spacing w:before="0" w:after="0" w:line="408" w:lineRule="exact"/>
        <w:ind w:left="0" w:right="0" w:firstLine="576"/>
        <w:jc w:val="left"/>
      </w:pPr>
      <w:r>
        <w:rPr/>
        <w:t xml:space="preserve">(5) Nothing in this chapter may limit or restrict any enrollment or school choice options otherwise available under </w:t>
      </w:r>
      <w:r>
        <w:t>((</w:t>
      </w:r>
      <w:r>
        <w:rPr>
          <w:strike/>
        </w:rPr>
        <w:t xml:space="preserve">Title 28A RCW</w:t>
      </w:r>
      <w:r>
        <w:t>))</w:t>
      </w:r>
      <w:r>
        <w:rPr/>
        <w:t xml:space="preserve"> </w:t>
      </w:r>
      <w:r>
        <w:rPr>
          <w:u w:val="single"/>
        </w:rPr>
        <w:t xml:space="preserve">this title</w:t>
      </w:r>
      <w:r>
        <w:rPr/>
        <w:t xml:space="preserve">.</w:t>
      </w:r>
    </w:p>
    <w:p/>
    <w:p>
      <w:pPr>
        <w:jc w:val="center"/>
      </w:pPr>
      <w:r>
        <w:rPr>
          <w:b/>
        </w:rPr>
        <w:t>--- END ---</w:t>
      </w:r>
    </w:p>
    <w:sectPr>
      <w:pgNumType w:start="1"/>
      <w:footerReference xmlns:r="http://schemas.openxmlformats.org/officeDocument/2006/relationships" r:id="R3aad91c9a49140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256b659ee54856" /><Relationship Type="http://schemas.openxmlformats.org/officeDocument/2006/relationships/footer" Target="/word/footer1.xml" Id="R3aad91c9a491408b" /></Relationships>
</file>