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5a8698ea3418c" /></Relationships>
</file>

<file path=word/document.xml><?xml version="1.0" encoding="utf-8"?>
<w:document xmlns:w="http://schemas.openxmlformats.org/wordprocessingml/2006/main">
  <w:body>
    <w:p>
      <w:r>
        <w:t>S-3224.2</w:t>
      </w:r>
    </w:p>
    <w:p>
      <w:pPr>
        <w:jc w:val="center"/>
      </w:pPr>
      <w:r>
        <w:t>_______________________________________________</w:t>
      </w:r>
    </w:p>
    <w:p/>
    <w:p>
      <w:pPr>
        <w:jc w:val="center"/>
      </w:pPr>
      <w:r>
        <w:rPr>
          <w:b/>
        </w:rPr>
        <w:t>SENATE BILL 5584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Trudeau, Nobles, Das, Dhingra, Frockt, Kuderer, Liias, Lovelett, Nguyen, Pedersen, Randall, Stanford, and C. Wilson</w:t>
      </w:r>
    </w:p>
    <w:p/>
    <w:p>
      <w:r>
        <w:rPr>
          <w:t xml:space="preserve">Prefiled 12/22/21.</w:t>
        </w:rPr>
      </w:r>
      <w:r>
        <w:rPr>
          <w:t xml:space="preserve">Read first time 01/10/22.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29A.24.010, 36.32.040, 36.32.050, 35A.12.040, 28A.343.320, and 29A.04.410; reenacting and amending RCW 29A.36.170; adding a new section to chapter 29A.52 RCW; adding a new section to chapter 29A.04 RCW; adding a new section to chapter 52.14 RCW; adding a new section to chapter 53.12 RCW; creating new sections;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must adopt rules that determine the maximum number of candidates per office that a voter is allowed to rank on a ballot;</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assign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assign any votes after the skipped number to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assign that vote ranking to any candidate and may not assign a vote for any subsequent number ranking for that office;</w:t>
      </w:r>
    </w:p>
    <w:p>
      <w:pPr>
        <w:spacing w:before="0" w:after="0" w:line="408" w:lineRule="exact"/>
        <w:ind w:left="0" w:right="0" w:firstLine="576"/>
        <w:jc w:val="left"/>
      </w:pPr>
      <w:r>
        <w:rPr/>
        <w:t xml:space="preserve">(f) There are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multiple-winner contest in which the positions are not dealt with as separate offices, including a primary,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using the single transferable vote method to winnow candidates for the election to a final list of five candidates. A county, city, town, or district that conducts a general election for a multiple-winner contest using ranked choice voting may not hold a primary.</w:t>
      </w:r>
    </w:p>
    <w:p>
      <w:pPr>
        <w:spacing w:before="0" w:after="0" w:line="408" w:lineRule="exact"/>
        <w:ind w:left="0" w:right="0" w:firstLine="576"/>
        <w:jc w:val="left"/>
      </w:pPr>
      <w:r>
        <w:rPr/>
        <w:t xml:space="preserve">(6) A county, city, town, or district that adopts ranked choice voting before 2023 shall implement ranked choice voting for elections beginning in 2025. A county, city, town, or district that adopts ranked choice voting during or after 2023 must implement ranked choice voting within two years following its adoption.</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before July 1, 2024, and in consultation with the ranked choice voting work group created in section 14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 and</w:t>
      </w:r>
    </w:p>
    <w:p>
      <w:pPr>
        <w:spacing w:before="0" w:after="0" w:line="408" w:lineRule="exact"/>
        <w:ind w:left="0" w:right="0" w:firstLine="576"/>
        <w:jc w:val="left"/>
      </w:pPr>
      <w:r>
        <w:rPr/>
        <w:t xml:space="preserve">(c) The maximum number of candidates a voter is allowed to rank for each office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system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system of counting votes in which the ballots are counted in rounds simulating a series of runoffs until two candidates remain or until one candidate has a majority of all votes counting in that round. The candidate having the greatest number of votes is declared the winner.</w:t>
      </w:r>
    </w:p>
    <w:p>
      <w:pPr>
        <w:spacing w:before="0" w:after="0" w:line="408" w:lineRule="exact"/>
        <w:ind w:left="0" w:right="0" w:firstLine="576"/>
        <w:jc w:val="left"/>
      </w:pPr>
      <w:r>
        <w:rPr/>
        <w:t xml:space="preserve">(c) "Single transferable vote method" means a system of counting votes in which a winning threshold is calculated based on the number of seats to be filled and the number of votes cast so that no more than the correct number of candidates can win. The ballots must be counted in rounds, with surplus votes transferred from winning candidates and candidates with the fewest votes eliminated according to the methodology established by the secretary of state in rules adopted under subsection (8) of this section, until the number of candidates remaining equals the number of seats to be filled.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during an election conducted using ranked choice voting as provided in section 1 of this act, the official empowered by state law to issue the original certificate of election for the county, city, town, or district shall resolve any tie using the lot method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1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1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 Based upon votes cast at the primary, the top two candidates</w:t>
      </w:r>
      <w:r>
        <w:rPr>
          <w:u w:val="single"/>
        </w:rPr>
        <w:t xml:space="preserve">, or the top five candidates in a primary for a general election conducted using ranked choice voting as provided in section 1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rPr/>
        <w:t xml:space="preserve">(3)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general election conducted using ranked choice voting as provided in section 1 of this act, five or fewer candidates have filed for the position</w:t>
      </w:r>
      <w:r>
        <w:rPr/>
        <w:t xml:space="preserve">.</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general election conducted using ranked choice voting as provided in section 1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the office of commissioner of a park and recreation district or for the office of cemetery district commissioner.</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1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1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1 of this act. A county that uses district nominations and district elections and adopts ranked choice voting as provided in section 1 of this act shall hold a primary to winnow the list of candidates in the district to five. If no more than five candidates have filed for a position after the last day allowed for candidates to withdraw, the county may not hold a primary for that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1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rPr>
          <w:u w:val="single"/>
        </w:rPr>
        <w:t xml:space="preserve">(2) Except as provided in subsection (3) of this section, t</w:t>
      </w:r>
      <w:r>
        <w:rPr/>
        <w:t xml:space="preserve">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1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office of the secretary of state, chosen by the secretary;</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1 of this act.</w:t>
      </w:r>
    </w:p>
    <w:p>
      <w:pPr>
        <w:spacing w:before="0" w:after="0" w:line="408" w:lineRule="exact"/>
        <w:ind w:left="0" w:right="0" w:firstLine="576"/>
        <w:jc w:val="left"/>
      </w:pPr>
      <w:r>
        <w:rPr/>
        <w:t xml:space="preserve">(4) This section expires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r>
        <w:rPr/>
        <w:t xml:space="preserve">.</w:t>
      </w:r>
    </w:p>
    <w:p>
      <w:pPr>
        <w:spacing w:before="0" w:after="0" w:line="408" w:lineRule="exact"/>
        <w:ind w:left="0" w:right="0" w:firstLine="576"/>
        <w:jc w:val="left"/>
      </w:pPr>
      <w:r>
        <w:rPr>
          <w:u w:val="single"/>
        </w:rPr>
        <w:t xml:space="preserve">(2) The costs of implementing a ranked choice voting election as provided in section 1 of this act borne by a county must be apportioned under this section to the jurisdiction using ranked choice voting. Implementation costs that may be apportioned under this subsection are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 and</w:t>
      </w:r>
    </w:p>
    <w:p>
      <w:pPr>
        <w:spacing w:before="0" w:after="0" w:line="408" w:lineRule="exact"/>
        <w:ind w:left="0" w:right="0" w:firstLine="576"/>
        <w:jc w:val="left"/>
      </w:pPr>
      <w:r>
        <w:rPr>
          <w:u w:val="single"/>
        </w:rPr>
        <w:t xml:space="preserve">(c) Voter education and outreach associated with ranked choice voting.</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secretary of state may provide grants to county auditors and local governments to adopt ranked choice voting as provided in this act.</w:t>
      </w:r>
    </w:p>
    <w:p>
      <w:pPr>
        <w:spacing w:before="0" w:after="0" w:line="408" w:lineRule="exact"/>
        <w:ind w:left="0" w:right="0" w:firstLine="576"/>
        <w:jc w:val="left"/>
      </w:pPr>
      <w:r>
        <w:rPr/>
        <w:t xml:space="preserve">(2) Subject to the availability of amounts appropriated for this specific purpose, the secretary of state may provide grants to a political subdivision to make changes to its electoral system as a remedy in response to one or more notices submitted under chapter 29A.92 RCW.</w:t>
      </w:r>
    </w:p>
    <w:p/>
    <w:p>
      <w:pPr>
        <w:jc w:val="center"/>
      </w:pPr>
      <w:r>
        <w:rPr>
          <w:b/>
        </w:rPr>
        <w:t>--- END ---</w:t>
      </w:r>
    </w:p>
    <w:sectPr>
      <w:pgNumType w:start="1"/>
      <w:footerReference xmlns:r="http://schemas.openxmlformats.org/officeDocument/2006/relationships" r:id="R7f89e29116fe44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f0a9198494558" /><Relationship Type="http://schemas.openxmlformats.org/officeDocument/2006/relationships/footer" Target="/word/footer1.xml" Id="R7f89e29116fe44b4" /></Relationships>
</file>