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3a48b67a4998" /></Relationships>
</file>

<file path=word/document.xml><?xml version="1.0" encoding="utf-8"?>
<w:document xmlns:w="http://schemas.openxmlformats.org/wordprocessingml/2006/main">
  <w:body>
    <w:p>
      <w:r>
        <w:t>S-4005.1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5527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Senate Business, Financial Services &amp; Trade (originally sponsored by Senators Wellman, Kuderer, Frockt, Nobles, and C. Wilson)</w:t>
      </w:r>
    </w:p>
    <w:p/>
    <w:p>
      <w:r>
        <w:rPr>
          <w:t xml:space="preserve">READ FIRST TIME 01/28/22.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sublimits of coverage to an insurance policy's declaration page; and amending RCW 48.18.140.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140</w:t>
      </w:r>
      <w:r>
        <w:rPr/>
        <w:t xml:space="preserve"> and 2002 c 344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written instrument, in which a contract of insurance is set forth, is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policy shall specify: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names of the parties to the contract. The insurer's name shall be clearly shown in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subject of the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risk insured against.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time at which the insurance thereunder takes effect and the period during which the insurance is to continue.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statement of the premium, and if other than life, disability, or title insurance, the premium rate where applicable.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conditions pertaining to the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If under the contract the exact amount of premiums is determinable only at termination of the contract, a statement of the basis and rates upon which the final premium is to be determined and paid shall be specified in the policy.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(4)(a) Periodic payment plans for private passenger automobile insurance shall allow a specific day of the month for a due date for payment of premiums. A late charge may not be required if payment is received within five days of the date payment is due.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commissioner shall adopt rules to implement this subsection and shall take no disciplinary action against an insurer until ninety days after the effective date of the rule.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</w:t>
      </w:r>
      <w:r>
        <w:rPr>
          <w:u w:val="single"/>
        </w:rPr>
        <w:t xml:space="preserve">(a) A residential insurance policy that contains sublimits shall include on the policy's declarations page a statement that the policy may limit the amount of coverage available for certain losses, and that the insured should review the policy carefully.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For the purposes of this subsection (5) only: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"Residential insurance policies" include all homeowners, renters, condominium, mobile home, and manufactured home personal insurance policies.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"Sublimit" means a limitation in a personal insurance policy on the limits of coverage available to cover certain losses that are lower than the overall policy limits.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The entire declarations page must be delivered to the insured at every policy renewal.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This subsection applies to residential insurance policies issued or renewed on or after January 1, 2023.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This subsection shall not apply to policies issued pursuant to chapter 48.15 RCW.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(6)</w:t>
      </w:r>
      <w:r>
        <w:rPr/>
        <w:t xml:space="preserve"> This section shall not apply to surety insurance contracts.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d587ded0cba4d6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5527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1ad07ac94af3" /><Relationship Type="http://schemas.openxmlformats.org/officeDocument/2006/relationships/footer" Target="/word/footer1.xml" Id="R6d587ded0cba4d61" /></Relationships>
</file>