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6cb96110c4635" /></Relationships>
</file>

<file path=word/document.xml><?xml version="1.0" encoding="utf-8"?>
<w:document xmlns:w="http://schemas.openxmlformats.org/wordprocessingml/2006/main">
  <w:body>
    <w:p>
      <w:r>
        <w:t>S-3258.1</w:t>
      </w:r>
    </w:p>
    <w:p>
      <w:pPr>
        <w:jc w:val="center"/>
      </w:pPr>
      <w:r>
        <w:t>_______________________________________________</w:t>
      </w:r>
    </w:p>
    <w:p/>
    <w:p>
      <w:pPr>
        <w:jc w:val="center"/>
      </w:pPr>
      <w:r>
        <w:rPr>
          <w:b/>
        </w:rPr>
        <w:t>SENATE BILL 5524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Honeyford, Wagoner, and L. Wilson</w:t>
      </w:r>
    </w:p>
    <w:p/>
    <w:p>
      <w:r>
        <w:rPr>
          <w:t xml:space="preserve">Prefiled 12/09/21.</w:t>
        </w:rPr>
      </w:r>
      <w:r>
        <w:rPr>
          <w:t xml:space="preserve">Read first time 01/10/22.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imposing a sentence of life in prison for controlled substances homicide for fentanyl-laced drugs; amending RCW 9.94A.540, 69.50.415, 9.94A.518, and 9.94A.518;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w:t>
      </w:r>
      <w:r>
        <w:rPr>
          <w:u w:val="single"/>
        </w:rPr>
        <w:t xml:space="preserve">or controlled substances homicide under RCW 69.50.415(2)(b)</w:t>
      </w:r>
      <w:r>
        <w:rPr/>
        <w:t xml:space="preserve"> shall be sentenced to a term of total confinement not less than twenty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sixty months.</w:t>
      </w:r>
    </w:p>
    <w:p>
      <w:pPr>
        <w:spacing w:before="0" w:after="0" w:line="408" w:lineRule="exact"/>
        <w:ind w:left="0" w:right="0" w:firstLine="576"/>
        <w:jc w:val="left"/>
      </w:pPr>
      <w:r>
        <w:rPr/>
        <w:t xml:space="preserve">(e) An offender convicted of the crime of aggravated first degree murder for a murder that was committed prior to the offender's eighteenth birthday shall be sentenced to a term of total confinement not less than twenty-five years.</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or (c)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415</w:t>
      </w:r>
      <w:r>
        <w:rPr/>
        <w:t xml:space="preserve"> and 2003 c 53 s 343 are each amended to read as follows:</w:t>
      </w:r>
    </w:p>
    <w:p>
      <w:pPr>
        <w:spacing w:before="0" w:after="0" w:line="408" w:lineRule="exact"/>
        <w:ind w:left="0" w:right="0" w:firstLine="576"/>
        <w:jc w:val="left"/>
      </w:pPr>
      <w:r>
        <w:rPr/>
        <w:t xml:space="preserve">(1) A person who unlawfully delivers a controlled substance in violation of RCW 69.50.401(2) (a), (b), or (c) which controlled substance is subsequently used by the person to whom it was delivered, resulting in the death of the user, is guilty of controlled substances homicide.</w:t>
      </w:r>
    </w:p>
    <w:p>
      <w:pPr>
        <w:spacing w:before="0" w:after="0" w:line="408" w:lineRule="exact"/>
        <w:ind w:left="0" w:right="0" w:firstLine="576"/>
        <w:jc w:val="left"/>
      </w:pPr>
      <w:r>
        <w:rPr/>
        <w:t xml:space="preserve">(2) </w:t>
      </w:r>
      <w:r>
        <w:t>((</w:t>
      </w:r>
      <w:r>
        <w:rPr>
          <w:strike/>
        </w:rPr>
        <w:t xml:space="preserve">Controlled</w:t>
      </w:r>
      <w:r>
        <w:t>))</w:t>
      </w:r>
      <w:r>
        <w:rPr/>
        <w:t xml:space="preserve"> </w:t>
      </w:r>
      <w:r>
        <w:rPr>
          <w:u w:val="single"/>
        </w:rPr>
        <w:t xml:space="preserve">(a) Unless otherwise stated, controlled</w:t>
      </w:r>
      <w:r>
        <w:rPr/>
        <w:t xml:space="preserve"> substances homicide is a class B felony punishable according to chapter 9A.20 RCW.</w:t>
      </w:r>
    </w:p>
    <w:p>
      <w:pPr>
        <w:spacing w:before="0" w:after="0" w:line="408" w:lineRule="exact"/>
        <w:ind w:left="0" w:right="0" w:firstLine="576"/>
        <w:jc w:val="left"/>
      </w:pPr>
      <w:r>
        <w:rPr>
          <w:u w:val="single"/>
        </w:rPr>
        <w:t xml:space="preserve">(b) Controlled substances homicide is a class A felony punishable according to chapter 9A.20 RCW if the controlled substance used by the person to whom it was delivered recklessly contains fentanyl.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2021 c 311 s 15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 </w:t>
            </w:r>
            <w:r>
              <w:rPr>
                <w:rFonts w:ascii="Times New Roman" w:hAnsi="Times New Roman"/>
                <w:sz w:val="20"/>
                <w:u w:val="single"/>
              </w:rPr>
              <w:t xml:space="preserve">(except as provided by RCW 69.50.415(2)(b))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marijuana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 </w:t>
            </w:r>
            <w:r>
              <w:rPr>
                <w:rFonts w:ascii="Times New Roman" w:hAnsi="Times New Roman"/>
                <w:sz w:val="20"/>
                <w:u w:val="single"/>
              </w:rPr>
              <w:t xml:space="preserve">(except as provided by RCW 69.50.415(2)(b))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marijuana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2023.</w:t>
      </w:r>
    </w:p>
    <w:p/>
    <w:p>
      <w:pPr>
        <w:jc w:val="center"/>
      </w:pPr>
      <w:r>
        <w:rPr>
          <w:b/>
        </w:rPr>
        <w:t>--- END ---</w:t>
      </w:r>
    </w:p>
    <w:sectPr>
      <w:pgNumType w:start="1"/>
      <w:footerReference xmlns:r="http://schemas.openxmlformats.org/officeDocument/2006/relationships" r:id="R2f79f70a955246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980d77aac14ab6" /><Relationship Type="http://schemas.openxmlformats.org/officeDocument/2006/relationships/footer" Target="/word/footer1.xml" Id="R2f79f70a95524665" /></Relationships>
</file>