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478b34cb442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Dhingra, Hasegawa, Hunt, Kuderer, Lovelett, Nguyen, Pedersen, Rivers, Robinson, Saldaña, and Wellman</w:t>
      </w:r>
    </w:p>
    <w:p/>
    <w:p>
      <w:r>
        <w:rPr>
          <w:t xml:space="preserve">Read first time 03/24/21.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State v. Blake decision by addressing justice system responses and behavioral health prevention, treatment, and related services for individuals using or possessing controlled substances, counterfeit substances, and legend drugs; amending RCW 69.50.4011, 69.50.4013, 69.50.412, 69.41.030, 69.41.030, 2.24.010, 2.24.040, and 9.94A.728; adding a new section to chapter 41.05 RCW; creating new sections; prescribing penalties;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substance use disorder is a disease and should be treated using a public health, rather than a criminal justice-centered, approach. Existing laws criminalizing the possession of drugs have been ineffective in reducing drug use and preventing substance use disorder. These laws cause significant harm to individuals who use drugs by disrupting and further destabilizing their lives. It also contributes to an increased risk of death, the spread of infectious diseases, mass incarceration, the separation of families, and barriers to accessing housing, employment, and other vital services. Furthermore, even though research shows that drugs are used and sold at similar levels across all races, laws criminalizing the use of drugs have disproportionately impacted minority communities.</w:t>
      </w:r>
    </w:p>
    <w:p>
      <w:pPr>
        <w:spacing w:before="0" w:after="0" w:line="408" w:lineRule="exact"/>
        <w:ind w:left="0" w:right="0" w:firstLine="576"/>
        <w:jc w:val="left"/>
      </w:pPr>
      <w:r>
        <w:rPr/>
        <w:t xml:space="preserve">This act takes the important first step of reducing the crime of possession from a felony to a gross misdemeanor and institutes greater opportunities for treatment. In coordination with this act, the legislature intends to increase funding for programs that have a proven track record of assisting individuals to break free from substance use dependency. These programs include LEAD (law enforcement assisted diversion/let everyone advance with dignity program); HOST (homeless outreach stabilization transition teams); peer-run clubhouses; opioid treatment network; project for psychiatric outreach for the homeless; mobile opioid treatment grant; peer support programs; and family navigators.</w:t>
      </w:r>
    </w:p>
    <w:p>
      <w:pPr>
        <w:spacing w:before="0" w:after="0" w:line="408" w:lineRule="exact"/>
        <w:ind w:left="0" w:right="0" w:firstLine="576"/>
        <w:jc w:val="left"/>
      </w:pPr>
      <w:r>
        <w:rPr/>
        <w:t xml:space="preserve">The purpose of this act is to save lives and to help transform Washington's approach to drug use from one based on criminalization and stigma to one based on science and compassion.</w:t>
      </w:r>
    </w:p>
    <w:p>
      <w:pPr>
        <w:spacing w:before="240" w:after="0" w:line="408" w:lineRule="exact"/>
        <w:ind w:left="0" w:right="0" w:firstLine="576"/>
        <w:jc w:val="center"/>
      </w:pPr>
    </w:p>
    <w:p>
      <w:pPr>
        <w:spacing w:before="0" w:after="0" w:line="408" w:lineRule="exact"/>
        <w:ind w:left="0" w:right="0" w:firstLine="576"/>
        <w:jc w:val="center"/>
      </w:pPr>
    </w:p>
    <w:p>
      <w:pPr>
        <w:spacing w:before="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POSSESSION AND USE OF CONTROLLED SUBSTANCES, COUNTERFEIT SUBSTANCES, AND LEGEND DRUGS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create, deliver, or </w:t>
      </w:r>
      <w:r>
        <w:rPr>
          <w:u w:val="single"/>
        </w:rPr>
        <w:t xml:space="preserve">knowingly</w:t>
      </w:r>
      <w:r>
        <w:rPr/>
        <w:t xml:space="preserve"> possess a counterfeit substance.</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Except as provided in subsection (3) of this section, any</w:t>
      </w:r>
      <w:r>
        <w:rPr/>
        <w:t xml:space="preserve"> person who violates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 A violation of this section involving possession is a gross misdemeanor. Where a case is legally sufficient, the prosecutor shall divert the case for treatment if the alleged violation involving possession is the person's first or second violation. On a person's third and subsequent violation involving possession, the prosecutor is encouraged to divert the case for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w:t>
      </w:r>
      <w:r>
        <w:rPr>
          <w:u w:val="single"/>
        </w:rPr>
        <w:t xml:space="preserve">knowingly</w:t>
      </w:r>
      <w:r>
        <w:rPr/>
        <w:t xml:space="preserve">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w:t>
      </w:r>
      <w:r>
        <w:t>((</w:t>
      </w:r>
      <w:r>
        <w:rPr>
          <w:strike/>
        </w:rPr>
        <w:t xml:space="preserve">class C felony</w:t>
      </w:r>
      <w:r>
        <w:t>))</w:t>
      </w:r>
      <w:r>
        <w:rPr/>
        <w:t xml:space="preserve"> </w:t>
      </w:r>
      <w:r>
        <w:rPr>
          <w:u w:val="single"/>
        </w:rPr>
        <w:t xml:space="preserve">gross misdemeanor</w:t>
      </w:r>
      <w:r>
        <w:rPr/>
        <w:t xml:space="preserve"> punishable under chapter 9A.20 RCW.</w:t>
      </w:r>
    </w:p>
    <w:p>
      <w:pPr>
        <w:spacing w:before="0" w:after="0" w:line="408" w:lineRule="exact"/>
        <w:ind w:left="0" w:right="0" w:firstLine="576"/>
        <w:jc w:val="left"/>
      </w:pPr>
      <w:r>
        <w:rPr/>
        <w:t xml:space="preserve">(3) </w:t>
      </w:r>
      <w:r>
        <w:rPr>
          <w:u w:val="single"/>
        </w:rPr>
        <w:t xml:space="preserve">Where a case is legally sufficient, the prosecutor shall divert the case for treatment if the alleged violation is the person's first or second violation of this section. On a person's third and subsequent violation of this section, the prosecutor is encouraged to divert the case for treatment.</w:t>
      </w:r>
    </w:p>
    <w:p>
      <w:pPr>
        <w:spacing w:before="0" w:after="0" w:line="408" w:lineRule="exact"/>
        <w:ind w:left="0" w:right="0" w:firstLine="576"/>
        <w:jc w:val="left"/>
      </w:pPr>
      <w:r>
        <w:rPr>
          <w:u w:val="single"/>
        </w:rPr>
        <w:t xml:space="preserve">(4)</w:t>
      </w:r>
      <w:r>
        <w:rPr/>
        <w:t xml:space="preserve">(a)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w:t>
      </w:r>
      <w:r>
        <w:t>((</w:t>
      </w:r>
      <w:r>
        <w:rPr>
          <w:strike/>
        </w:rPr>
        <w:t xml:space="preserve">(4)</w:t>
      </w:r>
      <w:r>
        <w:t>))</w:t>
      </w:r>
      <w:r>
        <w:rPr/>
        <w:t xml:space="preserve"> </w:t>
      </w:r>
      <w:r>
        <w:rPr>
          <w:u w:val="single"/>
        </w:rPr>
        <w:t xml:space="preserve">(5)</w:t>
      </w:r>
      <w:r>
        <w:rPr/>
        <w:t xml:space="preserve">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2019 c 64 s 22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w:t>
      </w:r>
      <w:r>
        <w:rPr>
          <w:u w:val="single"/>
        </w:rPr>
        <w:t xml:space="preserve">or</w:t>
      </w:r>
      <w:r>
        <w:rPr/>
        <w:t xml:space="preserve"> prepare</w:t>
      </w:r>
      <w:r>
        <w:t>((</w:t>
      </w:r>
      <w:r>
        <w:rPr>
          <w:strike/>
        </w:rPr>
        <w:t xml:space="preserve">, test, analyze, pack, repack, store, contain, conceal, inject, ingest, inhale, or otherwise introduce into the human body</w:t>
      </w:r>
      <w:r>
        <w:t>))</w:t>
      </w:r>
      <w:r>
        <w:rPr/>
        <w:t xml:space="preserve"> a controlled substance other than marijuana.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w:t>
      </w:r>
      <w:r>
        <w:rPr>
          <w:u w:val="single"/>
        </w:rPr>
        <w:t xml:space="preserve">or</w:t>
      </w:r>
      <w:r>
        <w:rPr/>
        <w:t xml:space="preserve"> prepare</w:t>
      </w:r>
      <w:r>
        <w:t>((</w:t>
      </w:r>
      <w:r>
        <w:rPr>
          <w:strike/>
        </w:rPr>
        <w:t xml:space="preserve">, test, analyze, pack, repack, store, contain, conceal, inject, ingest, inhale, or otherwise introduce into the human body</w:t>
      </w:r>
      <w:r>
        <w:t>))</w:t>
      </w:r>
      <w:r>
        <w:rPr/>
        <w:t xml:space="preserve"> a controlled substance other than marijuana.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2019 c 55 s 9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provided in subsection (2) of this section, it</w:t>
      </w:r>
      <w:r>
        <w:rPr/>
        <w:t xml:space="preserve"> shall be unlawful for any person to sell, deliver, or </w:t>
      </w:r>
      <w:r>
        <w:rPr>
          <w:u w:val="single"/>
        </w:rPr>
        <w:t xml:space="preserve">knowingly</w:t>
      </w:r>
      <w:r>
        <w:rPr/>
        <w:t xml:space="preserve"> possess any legend drug </w:t>
      </w:r>
      <w:r>
        <w:t>((</w:t>
      </w:r>
      <w:r>
        <w:rPr>
          <w:strike/>
        </w:rPr>
        <w:t xml:space="preserve">except</w:t>
      </w:r>
      <w:r>
        <w:t>))</w:t>
      </w:r>
      <w:r>
        <w:rPr>
          <w:u w:val="single"/>
        </w:rPr>
        <w:t xml:space="preserve">.</w:t>
      </w:r>
    </w:p>
    <w:p>
      <w:pPr>
        <w:spacing w:before="0" w:after="0" w:line="408" w:lineRule="exact"/>
        <w:ind w:left="0" w:right="0" w:firstLine="576"/>
        <w:jc w:val="left"/>
      </w:pPr>
      <w:r>
        <w:rPr>
          <w:u w:val="single"/>
        </w:rPr>
        <w:t xml:space="preserve">(2) The sale, delivery, or possession of a legend drug does not constitute a violation of this section</w:t>
      </w:r>
      <w:r>
        <w:rPr/>
        <w:t xml:space="preserve">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 </w:t>
      </w:r>
      <w:r>
        <w:rPr>
          <w:u w:val="single"/>
        </w:rPr>
        <w:t xml:space="preserve">Where a case is legally sufficient, the prosecutor shall divert the case for treatment if the alleged violation involving possession is the person's first or second violation. On a person's third and subsequent violation involving possession, the prosecutor is encouraged to divert the case for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provided in subsection (2) of this section, it</w:t>
      </w:r>
      <w:r>
        <w:rPr/>
        <w:t xml:space="preserve"> shall be unlawful for any person to sell, deliver, or </w:t>
      </w:r>
      <w:r>
        <w:rPr>
          <w:u w:val="single"/>
        </w:rPr>
        <w:t xml:space="preserve">knowingly</w:t>
      </w:r>
      <w:r>
        <w:rPr/>
        <w:t xml:space="preserve"> possess any legend drug </w:t>
      </w:r>
      <w:r>
        <w:t>((</w:t>
      </w:r>
      <w:r>
        <w:rPr>
          <w:strike/>
        </w:rPr>
        <w:t xml:space="preserve">except</w:t>
      </w:r>
      <w:r>
        <w:t>))</w:t>
      </w:r>
      <w:r>
        <w:rPr>
          <w:u w:val="single"/>
        </w:rPr>
        <w:t xml:space="preserve">.</w:t>
      </w:r>
    </w:p>
    <w:p>
      <w:pPr>
        <w:spacing w:before="0" w:after="0" w:line="408" w:lineRule="exact"/>
        <w:ind w:left="0" w:right="0" w:firstLine="576"/>
        <w:jc w:val="left"/>
      </w:pPr>
      <w:r>
        <w:rPr>
          <w:u w:val="single"/>
        </w:rPr>
        <w:t xml:space="preserve">(2) The sale, delivery, or possession of a legend drug does not constitute a violation of this section</w:t>
      </w:r>
      <w:r>
        <w:rPr/>
        <w:t xml:space="preserve">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 </w:t>
      </w:r>
      <w:r>
        <w:rPr>
          <w:u w:val="single"/>
        </w:rPr>
        <w:t xml:space="preserve">Where a case is legally sufficient, the prosecutor shall divert the case for treatment if the alleged violation involving possession is the person's first or second violation. On a person's third and subsequent violation involving possession, the prosecutor is encouraged to divert the case for treatment.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SUBSTANCE USE RECOVERY SERVICES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establish the substance use recovery services advisory committee to make recommendations for implementation of a substance use recovery services plan.</w:t>
      </w:r>
    </w:p>
    <w:p>
      <w:pPr>
        <w:spacing w:before="0" w:after="0" w:line="408" w:lineRule="exact"/>
        <w:ind w:left="0" w:right="0" w:firstLine="576"/>
        <w:jc w:val="left"/>
      </w:pPr>
      <w:r>
        <w:rPr/>
        <w:t xml:space="preserve">(2) The authority must, in consultation with the University of Washington department of psychiatry and behavioral sciences and an organization that represents the interests of people who have been directly impacted by substance use and the criminal legal system, appoint members to the advisory committee who have relevant background related to the needs of persons with substance use disorder. The membership of the advisory committee must include, but is not limited to, experts in the etiology and stabilization of substance use disorders, including expertise in medication-assisted treatment and other innovative medication therapies; experts in mental health and trauma and their comorbidity with substance use disorders; people who are currently using controlled substances outside the legal authority of prescription or valid practitioner order; experts in the relationship between social determinants of health, including housing and substance use disorder; experts in drug user health and harm reduction; representatives of city and county governments; a representative of urban police chiefs; a representative of rural county sheriffs; a representative of the interests of rural communities; a representative of fire chiefs; experts in peer support services; experts in substance use disorder recovery support services; experts in diversion from the criminal legal system to community-based care for people with complex behavioral health needs; experts in reducing racial disparity in exposure to the criminal legal system; an academic researcher with an expertise in drug policy and program evaluation; a substance use disorder professional; a representative of public defenders; a representative of prosecutors; a representative of the criminal justice training commission; a nongovernmental immigration attorney with expertise in the immigration consequences of drug possession and use crimes and findings of substance use disorder; recovery housing providers; low-barrier housing providers; representatives of racial justice organizations, including organizations promoting antiracism and equity in health care; a representative of a local health jurisdiction with expertise in overdose prevention and harm reduction; representatives of the interests of tribes; at least three adults in recovery from substance use disorder, including individuals with previous contact with the criminal legal system due to substance use; at least three youths in recovery from substance use disorder, including youths with previous criminal legal system contact due to substance use; and at least three family members of persons with substance use disorder. The advisory committee shall be reflective of the community of individuals living with substance use disorder, including people who are Black, indigenous, and people of color, and individuals who can represent the unique needs of rural communities.</w:t>
      </w:r>
    </w:p>
    <w:p>
      <w:pPr>
        <w:spacing w:before="0" w:after="0" w:line="408" w:lineRule="exact"/>
        <w:ind w:left="0" w:right="0" w:firstLine="576"/>
        <w:jc w:val="left"/>
      </w:pPr>
      <w:r>
        <w:rPr/>
        <w:t xml:space="preserve">(3) The advisory committee must make recommendations and provide perspectives to the authority regarding:</w:t>
      </w:r>
    </w:p>
    <w:p>
      <w:pPr>
        <w:spacing w:before="0" w:after="0" w:line="408" w:lineRule="exact"/>
        <w:ind w:left="0" w:right="0" w:firstLine="576"/>
        <w:jc w:val="left"/>
      </w:pPr>
      <w:r>
        <w:rPr/>
        <w:t xml:space="preserve">(a) Reforms to state laws that align with the goal of treating substance use disorder as a disease, rather than a criminal behavior;</w:t>
      </w:r>
    </w:p>
    <w:p>
      <w:pPr>
        <w:spacing w:before="0" w:after="0" w:line="408" w:lineRule="exact"/>
        <w:ind w:left="0" w:right="0" w:firstLine="576"/>
        <w:jc w:val="left"/>
      </w:pPr>
      <w:r>
        <w:rPr/>
        <w:t xml:space="preserve">(b) Current regional capacity for existing public and private programs providing substance use disorder assessments, each of the American society of addiction medicine levels of care, and recovery support services;</w:t>
      </w:r>
    </w:p>
    <w:p>
      <w:pPr>
        <w:spacing w:before="0" w:after="0" w:line="408" w:lineRule="exact"/>
        <w:ind w:left="0" w:right="0" w:firstLine="576"/>
        <w:jc w:val="left"/>
      </w:pPr>
      <w:r>
        <w:rPr/>
        <w:t xml:space="preserve">(c) Barriers to accessing the existing health system for those populations chronically exposed to criminal legal system responses relating to complex behavioral health conditions and the consequences of trauma, and possible innovations that could reduce those barriers and improve the quality and accessibility of care for those populations;</w:t>
      </w:r>
    </w:p>
    <w:p>
      <w:pPr>
        <w:spacing w:before="0" w:after="0" w:line="408" w:lineRule="exact"/>
        <w:ind w:left="0" w:right="0" w:firstLine="576"/>
        <w:jc w:val="left"/>
      </w:pPr>
      <w:r>
        <w:rPr/>
        <w:t xml:space="preserve">(d) Evidence-based, research-based, and promising treatment and recovery services appropriate for target populations, to include, but not be limited to, field-based outreach and engagement, case management, mental and physical health care, contingency management, medication-assisted treatment and other innovative medication therapies, peer support services, family education, housing, job training and employment programs, and treatments that have not traditionally been covered by insurance;</w:t>
      </w:r>
    </w:p>
    <w:p>
      <w:pPr>
        <w:spacing w:before="0" w:after="0" w:line="408" w:lineRule="exact"/>
        <w:ind w:left="0" w:right="0" w:firstLine="576"/>
        <w:jc w:val="left"/>
      </w:pPr>
      <w:r>
        <w:rPr/>
        <w:t xml:space="preserve">(e) Workforce needs for the behavioral health services sector, including wage and retention challenges;</w:t>
      </w:r>
    </w:p>
    <w:p>
      <w:pPr>
        <w:spacing w:before="0" w:after="0" w:line="408" w:lineRule="exact"/>
        <w:ind w:left="0" w:right="0" w:firstLine="576"/>
        <w:jc w:val="left"/>
      </w:pPr>
      <w:r>
        <w:rPr/>
        <w:t xml:space="preserve">(f) Options for leveraging existing integrated managed care, medicaid waiver, American Indian or Alaska Native fee-for-service behavioral health benefits, and private insurance service capacity for substance use disorders, including but not limited to coordination with managed care organizations, behavioral health administrative services organizations, the Washington health benefit exchange, accountable communities of health, and the office of the insurance commissioner;</w:t>
      </w:r>
    </w:p>
    <w:p>
      <w:pPr>
        <w:spacing w:before="0" w:after="0" w:line="408" w:lineRule="exact"/>
        <w:ind w:left="0" w:right="0" w:firstLine="576"/>
        <w:jc w:val="left"/>
      </w:pPr>
      <w:r>
        <w:rPr/>
        <w:t xml:space="preserve">(g) Framework and design assistance for jurisdictions to assist in compliance with the requirements of RCW 10.31.110 for diversion of individuals with complex behavioral health conditions to community-based care whenever possible and appropriate, and identifying resource gaps that impede jurisdictions in fully realizing the potential impact of this approach;</w:t>
      </w:r>
    </w:p>
    <w:p>
      <w:pPr>
        <w:spacing w:before="0" w:after="0" w:line="408" w:lineRule="exact"/>
        <w:ind w:left="0" w:right="0" w:firstLine="576"/>
        <w:jc w:val="left"/>
      </w:pPr>
      <w:r>
        <w:rPr/>
        <w:t xml:space="preserve">(h) The design of a referral mechanism for referring people with substance use disorder or problematic behaviors resulting from drug use into the supportive services described in this section, including intercepting individuals who likely would otherwise be referred into the criminal legal system, with the express intention of ensuring that decriminalization of possession of personal use amounts does not inadvertently contribute to increased racial disparity among those who continue to be exposed to the criminal legal system due to income instability and involvement in the illicit economy to meet basic needs;</w:t>
      </w:r>
    </w:p>
    <w:p>
      <w:pPr>
        <w:spacing w:before="0" w:after="0" w:line="408" w:lineRule="exact"/>
        <w:ind w:left="0" w:right="0" w:firstLine="576"/>
        <w:jc w:val="left"/>
      </w:pPr>
      <w:r>
        <w:rPr/>
        <w:t xml:space="preserve">(i) The design of ongoing qualitative and quantitative research about the types of services desired by people with substance use disorders and barriers they experience in accessing existing and recommended services; and</w:t>
      </w:r>
    </w:p>
    <w:p>
      <w:pPr>
        <w:spacing w:before="0" w:after="0" w:line="408" w:lineRule="exact"/>
        <w:ind w:left="0" w:right="0" w:firstLine="576"/>
        <w:jc w:val="left"/>
      </w:pPr>
      <w:r>
        <w:rPr/>
        <w:t xml:space="preserve">(j) Proposing a funding framework in which, over time, resources are shifted from punishment sectors to community-based care interventions such that community-based care becomes the primary strategy for addressing and resolving public order issues related to behavioral health conditions.</w:t>
      </w:r>
    </w:p>
    <w:p>
      <w:pPr>
        <w:spacing w:before="0" w:after="0" w:line="408" w:lineRule="exact"/>
        <w:ind w:left="0" w:right="0" w:firstLine="576"/>
        <w:jc w:val="left"/>
      </w:pPr>
      <w:r>
        <w:rPr/>
        <w:t xml:space="preserve">(4) The authority shall submit a summary report of the substance use recovery services plan and recommended changes to the law to the appropriate committees of the legislature by October 1, 2022. The authority shall submit an interim report on the progress of the advisory committee to the appropriate committees of the legislature by December 1, 2021.</w:t>
      </w:r>
    </w:p>
    <w:p>
      <w:pPr>
        <w:spacing w:before="0" w:after="0" w:line="408" w:lineRule="exact"/>
        <w:ind w:left="0" w:right="0" w:firstLine="576"/>
        <w:jc w:val="left"/>
      </w:pPr>
      <w:r>
        <w:rPr/>
        <w:t xml:space="preserve">(5) This section expires December 31, 2023.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RESENTENCING AND RELEASE OF PERSONS IMPACTED BY </w:t>
      </w:r>
      <w:r>
        <w:rPr>
          <w:b/>
          <w:i/>
        </w:rPr>
        <w:t xml:space="preserve">STATE V. BLAKE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010</w:t>
      </w:r>
      <w:r>
        <w:rPr/>
        <w:t xml:space="preserve"> and 2013 c 27 s 3 are each amended to read as follows:</w:t>
      </w:r>
    </w:p>
    <w:p>
      <w:pPr>
        <w:spacing w:before="0" w:after="0" w:line="408" w:lineRule="exact"/>
        <w:ind w:left="0" w:right="0" w:firstLine="576"/>
        <w:jc w:val="left"/>
      </w:pPr>
      <w:r>
        <w:rPr/>
        <w:t xml:space="preserve">(1) There may be appointed in each county or judicial district, by the judges of the superior court having jurisdiction therein, one or more court commissioners for said county or judicial district. Each such commissioner shall be a citizen of the United States and shall hold the office during the pleasure of the judges making the appointment.</w:t>
      </w:r>
    </w:p>
    <w:p>
      <w:pPr>
        <w:spacing w:before="0" w:after="0" w:line="408" w:lineRule="exact"/>
        <w:ind w:left="0" w:right="0" w:firstLine="576"/>
        <w:jc w:val="left"/>
      </w:pPr>
      <w:r>
        <w:rPr/>
        <w:t xml:space="preserve">(2)(a) There may be appointed </w:t>
      </w:r>
      <w:r>
        <w:t>((</w:t>
      </w:r>
      <w:r>
        <w:rPr>
          <w:strike/>
        </w:rPr>
        <w:t xml:space="preserve">in counties with a population of more than four hundred thousand,</w:t>
      </w:r>
      <w:r>
        <w:t>))</w:t>
      </w:r>
      <w:r>
        <w:rPr/>
        <w:t xml:space="preserve"> by the presiding judge of the superior court having jurisdiction </w:t>
      </w:r>
      <w:r>
        <w:t>((</w:t>
      </w:r>
      <w:r>
        <w:rPr>
          <w:strike/>
        </w:rPr>
        <w:t xml:space="preserve">therein</w:t>
      </w:r>
      <w:r>
        <w:t>))</w:t>
      </w:r>
      <w:r>
        <w:rPr/>
        <w:t xml:space="preserve">, one or more attorneys to act as criminal commissioners to assist the superior court in disposing of adult criminal cases. Such criminal commissioners shall have power, authority, and jurisdiction, concurrent with the superior court and the judges thereof,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accept waivers of the right to speedy trial; and authorize and issue search warrants and orders to intercept, monitor, or record wired or wireless telecommunications or for the installation of electronic taps or other devices to include, but not be limited to, vehicle global positioning system or other mobile tracking devices with all the powers conferred upon the judge of the superior court in such matters. </w:t>
      </w:r>
      <w:r>
        <w:rPr>
          <w:u w:val="single"/>
        </w:rPr>
        <w:t xml:space="preserve">Criminal commissioners also shall have the authority to conduct resentencing hearings and to vacate convictions pursuant to </w:t>
      </w:r>
      <w:r>
        <w:rPr>
          <w:i/>
          <w:u w:val="single"/>
        </w:rPr>
        <w:t xml:space="preserve">State v. Blake</w:t>
      </w:r>
      <w:r>
        <w:rPr>
          <w:u w:val="single"/>
        </w:rPr>
        <w:t xml:space="preserve">, No. 96873-0 (Feb. 25, 2021).</w:t>
      </w:r>
    </w:p>
    <w:p>
      <w:pPr>
        <w:spacing w:before="0" w:after="0" w:line="408" w:lineRule="exact"/>
        <w:ind w:left="0" w:right="0" w:firstLine="576"/>
        <w:jc w:val="left"/>
      </w:pPr>
      <w:r>
        <w:rPr/>
        <w:t xml:space="preserve">(b) The county legislative authority must approve the creation of criminal commissioner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040</w:t>
      </w:r>
      <w:r>
        <w:rPr/>
        <w:t xml:space="preserve"> and 2009 c 28 s 1 are each amended to read as follows:</w:t>
      </w:r>
    </w:p>
    <w:p>
      <w:pPr>
        <w:spacing w:before="0" w:after="0" w:line="408" w:lineRule="exact"/>
        <w:ind w:left="0" w:right="0" w:firstLine="576"/>
        <w:jc w:val="left"/>
      </w:pPr>
      <w:r>
        <w:rPr/>
        <w:t xml:space="preserve">Such court commissioner shall have power, authority, and jurisdiction, concurrent with the superior court and the judge thereof, in the following particulars:</w:t>
      </w:r>
    </w:p>
    <w:p>
      <w:pPr>
        <w:spacing w:before="0" w:after="0" w:line="408" w:lineRule="exact"/>
        <w:ind w:left="0" w:right="0" w:firstLine="576"/>
        <w:jc w:val="left"/>
      </w:pPr>
      <w:r>
        <w:rPr/>
        <w:t xml:space="preserve">(1) To hear and determine all matters in probate, to make and issue all proper orders therein, and to issue citations in all cases where same are authorized by the probate statutes of this state.</w:t>
      </w:r>
    </w:p>
    <w:p>
      <w:pPr>
        <w:spacing w:before="0" w:after="0" w:line="408" w:lineRule="exact"/>
        <w:ind w:left="0" w:right="0" w:firstLine="576"/>
        <w:jc w:val="left"/>
      </w:pPr>
      <w:r>
        <w:rPr/>
        <w:t xml:space="preserve">(2) To grant and enter defaults and enter judgment thereon.</w:t>
      </w:r>
    </w:p>
    <w:p>
      <w:pPr>
        <w:spacing w:before="0" w:after="0" w:line="408" w:lineRule="exact"/>
        <w:ind w:left="0" w:right="0" w:firstLine="576"/>
        <w:jc w:val="left"/>
      </w:pPr>
      <w:r>
        <w:rPr/>
        <w:t xml:space="preserve">(3) To issue temporary restraining orders and temporary injunctions, and to fix and approve bonds thereon.</w:t>
      </w:r>
    </w:p>
    <w:p>
      <w:pPr>
        <w:spacing w:before="0" w:after="0" w:line="408" w:lineRule="exact"/>
        <w:ind w:left="0" w:right="0" w:firstLine="576"/>
        <w:jc w:val="left"/>
      </w:pPr>
      <w:r>
        <w:rPr/>
        <w:t xml:space="preserve">(4) To act as referee in all matters and actions referred to him or her by the superior court as such, with all the powers now conferred upon referees by law.</w:t>
      </w:r>
    </w:p>
    <w:p>
      <w:pPr>
        <w:spacing w:before="0" w:after="0" w:line="408" w:lineRule="exact"/>
        <w:ind w:left="0" w:right="0" w:firstLine="576"/>
        <w:jc w:val="left"/>
      </w:pPr>
      <w:r>
        <w:rPr/>
        <w:t xml:space="preserve">(5) To hear and determine all proceedings supplemental to execution, with all the powers conferred upon the judge of the superior court in such matters.</w:t>
      </w:r>
    </w:p>
    <w:p>
      <w:pPr>
        <w:spacing w:before="0" w:after="0" w:line="408" w:lineRule="exact"/>
        <w:ind w:left="0" w:right="0" w:firstLine="576"/>
        <w:jc w:val="left"/>
      </w:pPr>
      <w:r>
        <w:rPr/>
        <w:t xml:space="preserve">(6) To hear and determine all petitions for the adoption of children and for the dissolution of incorporations.</w:t>
      </w:r>
    </w:p>
    <w:p>
      <w:pPr>
        <w:spacing w:before="0" w:after="0" w:line="408" w:lineRule="exact"/>
        <w:ind w:left="0" w:right="0" w:firstLine="576"/>
        <w:jc w:val="left"/>
      </w:pPr>
      <w:r>
        <w:rPr/>
        <w:t xml:space="preserve">(7) To hear and determine all applications for the commitment of any person to the hospital for the insane, with all the powers of the superior court in such matters: PROVIDED, That in cases where a jury is demanded, same shall be referred to the superior court for trial.</w:t>
      </w:r>
    </w:p>
    <w:p>
      <w:pPr>
        <w:spacing w:before="0" w:after="0" w:line="408" w:lineRule="exact"/>
        <w:ind w:left="0" w:right="0" w:firstLine="576"/>
        <w:jc w:val="left"/>
      </w:pPr>
      <w:r>
        <w:rPr/>
        <w:t xml:space="preserve">(8) To hear and determine all complaints for the commitments of minors with all powers conferred upon the superior court in such matters.</w:t>
      </w:r>
    </w:p>
    <w:p>
      <w:pPr>
        <w:spacing w:before="0" w:after="0" w:line="408" w:lineRule="exact"/>
        <w:ind w:left="0" w:right="0" w:firstLine="576"/>
        <w:jc w:val="left"/>
      </w:pPr>
      <w:r>
        <w:rPr/>
        <w:t xml:space="preserve">(9) To hear and determine ex parte and uncontested civil matters of any nature.</w:t>
      </w:r>
    </w:p>
    <w:p>
      <w:pPr>
        <w:spacing w:before="0" w:after="0" w:line="408" w:lineRule="exact"/>
        <w:ind w:left="0" w:right="0" w:firstLine="576"/>
        <w:jc w:val="left"/>
      </w:pPr>
      <w:r>
        <w:rPr/>
        <w:t xml:space="preserve">(10) To grant adjournments, administer oaths, preserve order, compel attendance of witnesses, and to punish for contempts in the refusal to obey or the neglect of the court commissioner's lawful orders made in any matter before the court commissioner as fully as the judge of the superior court.</w:t>
      </w:r>
    </w:p>
    <w:p>
      <w:pPr>
        <w:spacing w:before="0" w:after="0" w:line="408" w:lineRule="exact"/>
        <w:ind w:left="0" w:right="0" w:firstLine="576"/>
        <w:jc w:val="left"/>
      </w:pPr>
      <w:r>
        <w:rPr/>
        <w:t xml:space="preserve">(11) To take acknowledgments and proofs of deeds, mortgages and all other instruments requiring acknowledgment under the laws of this state, and to take affidavits and depositions in all cases.</w:t>
      </w:r>
    </w:p>
    <w:p>
      <w:pPr>
        <w:spacing w:before="0" w:after="0" w:line="408" w:lineRule="exact"/>
        <w:ind w:left="0" w:right="0" w:firstLine="576"/>
        <w:jc w:val="left"/>
      </w:pPr>
      <w:r>
        <w:rPr/>
        <w:t xml:space="preserve">(12) To provide an official seal, upon which shall be engraved the words "Court Commissioner," and the name of the county for which he or she may be appointed, and to authenticate his official acts therewith in all cases where same is necessary.</w:t>
      </w:r>
    </w:p>
    <w:p>
      <w:pPr>
        <w:spacing w:before="0" w:after="0" w:line="408" w:lineRule="exact"/>
        <w:ind w:left="0" w:right="0" w:firstLine="576"/>
        <w:jc w:val="left"/>
      </w:pPr>
      <w:r>
        <w:rPr/>
        <w:t xml:space="preserve">(13) To charge and collect, for his or her own use, the same fees for the official performance of official acts mentioned in subsections (4) and (11) of this section as are provided by law for referees and notaries public.</w:t>
      </w:r>
    </w:p>
    <w:p>
      <w:pPr>
        <w:spacing w:before="0" w:after="0" w:line="408" w:lineRule="exact"/>
        <w:ind w:left="0" w:right="0" w:firstLine="576"/>
        <w:jc w:val="left"/>
      </w:pPr>
      <w:r>
        <w:rPr/>
        <w:t xml:space="preserve">(14) To hear and determine small claims appeals as provided in chapter 12.36 RCW.</w:t>
      </w:r>
    </w:p>
    <w:p>
      <w:pPr>
        <w:spacing w:before="0" w:after="0" w:line="408" w:lineRule="exact"/>
        <w:ind w:left="0" w:right="0" w:firstLine="576"/>
        <w:jc w:val="left"/>
      </w:pPr>
      <w:r>
        <w:rPr/>
        <w:t xml:space="preserve">(15)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w:t>
      </w:r>
      <w:r>
        <w:t>((</w:t>
      </w:r>
      <w:r>
        <w:rPr>
          <w:strike/>
        </w:rPr>
        <w:t xml:space="preserve">and</w:t>
      </w:r>
      <w:r>
        <w:t>))</w:t>
      </w:r>
      <w:r>
        <w:rPr/>
        <w:t xml:space="preserve"> accept waivers of the right to speedy trial</w:t>
      </w:r>
      <w:r>
        <w:rPr>
          <w:u w:val="single"/>
        </w:rPr>
        <w:t xml:space="preserve">; and conduct resentencing hearings and to vacate convictions pursuant to </w:t>
      </w:r>
      <w:r>
        <w:rPr>
          <w:i/>
          <w:u w:val="single"/>
        </w:rPr>
        <w:t xml:space="preserve">State v. Blake</w:t>
      </w:r>
      <w:r>
        <w:rPr>
          <w:u w:val="single"/>
        </w:rPr>
        <w:t xml:space="preserve">, No. 96873-0 (Feb. 25,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offender's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w:t>
      </w:r>
      <w:r>
        <w:rPr>
          <w:u w:val="single"/>
        </w:rPr>
        <w:t xml:space="preserve">Notwithstanding any other provision of this section, an offender entitled to vacation of a conviction or the recalculation of his or her offender score pursuant to </w:t>
      </w:r>
      <w:r>
        <w:rPr>
          <w:i/>
          <w:u w:val="single"/>
        </w:rPr>
        <w:t xml:space="preserve">State v. Blake</w:t>
      </w:r>
      <w:r>
        <w:rPr>
          <w:u w:val="single"/>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u w:val="single"/>
        </w:rPr>
        <w:t xml:space="preserve">(3)</w:t>
      </w:r>
      <w:r>
        <w:rPr/>
        <w:t xml:space="preserve"> Offenders residing in a juvenile correctional facility placement pursuant to RCW 72.01.410(1)(a) are not subject to the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t>
      </w:r>
      <w:r>
        <w:rPr>
          <w:i/>
        </w:rPr>
        <w:t xml:space="preserve">State v. Blake</w:t>
      </w:r>
      <w:r>
        <w:rPr/>
        <w:t xml:space="preserve"> reimbursement account is created in the state treasury. Moneys in the account may be spent only after appropriation. Expenditures from the account may be used only for state and local government costs resulting from the supreme court's decision in </w:t>
      </w:r>
      <w:r>
        <w:rPr>
          <w:i/>
        </w:rPr>
        <w:t xml:space="preserve">State v. Blake</w:t>
      </w:r>
      <w:r>
        <w:rPr/>
        <w:t xml:space="preserve"> and to reimburse individuals for legal financial obligations paid in connection with sentences that have been invalidated as a result of the decision in </w:t>
      </w:r>
      <w:r>
        <w:rPr>
          <w:i/>
        </w:rPr>
        <w:t xml:space="preserve">State v. Blake</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11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1b56277b6954f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696b6eac04848" /><Relationship Type="http://schemas.openxmlformats.org/officeDocument/2006/relationships/footer" Target="/word/footer1.xml" Id="Ra1b56277b6954fba" /></Relationships>
</file>