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cedf0d025146de" /></Relationships>
</file>

<file path=word/document.xml><?xml version="1.0" encoding="utf-8"?>
<w:document xmlns:w="http://schemas.openxmlformats.org/wordprocessingml/2006/main">
  <w:body>
    <w:p>
      <w:r>
        <w:t>S-0863.3</w:t>
      </w:r>
    </w:p>
    <w:p>
      <w:pPr>
        <w:jc w:val="center"/>
      </w:pPr>
      <w:r>
        <w:t>_______________________________________________</w:t>
      </w:r>
    </w:p>
    <w:p/>
    <w:p>
      <w:pPr>
        <w:jc w:val="center"/>
      </w:pPr>
      <w:r>
        <w:rPr>
          <w:b/>
        </w:rPr>
        <w:t>SUBSTITUTE SENATE BILL 5325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Muzzall, Cleveland, Dozier, Frockt, Keiser, Randall, Rivers, and Robinson)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and amending RCW 71.24.335.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2019 c 325 s 1019 are each amended to read as follows:</w:t>
      </w:r>
    </w:p>
    <w:p>
      <w:pPr>
        <w:spacing w:before="0" w:after="0" w:line="408" w:lineRule="exact"/>
        <w:ind w:left="0" w:right="0" w:firstLine="576"/>
        <w:jc w:val="left"/>
      </w:pPr>
      <w:r>
        <w:rPr/>
        <w:t xml:space="preserve">(1) Upon initiation or renewal of a contract with the authority, behavioral health administrative services organizations and managed care organizations shall reimburse a provider for a behavioral health service provided to a covered person </w:t>
      </w:r>
      <w:r>
        <w:t>((</w:t>
      </w:r>
      <w:r>
        <w:rPr>
          <w:strike/>
        </w:rPr>
        <w:t xml:space="preserve">who is under eighteen years old</w:t>
      </w:r>
      <w:r>
        <w:t>))</w:t>
      </w:r>
      <w:r>
        <w:rPr/>
        <w:t xml:space="preserve"> through telemedicine or store and forward technology if:</w:t>
      </w:r>
    </w:p>
    <w:p>
      <w:pPr>
        <w:spacing w:before="0" w:after="0" w:line="408" w:lineRule="exact"/>
        <w:ind w:left="0" w:right="0" w:firstLine="576"/>
        <w:jc w:val="left"/>
      </w:pPr>
      <w:r>
        <w:rPr/>
        <w:t xml:space="preserve">(a) The behavioral health administrative services organization or managed care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administrative services organization, or managed care organization, and the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administrative services organization, or managed care organization, as applicable. A distant site or any other site not identified in subsection (3) of this section may not charge a facility fee.</w:t>
      </w:r>
    </w:p>
    <w:p>
      <w:pPr>
        <w:spacing w:before="0" w:after="0" w:line="408" w:lineRule="exact"/>
        <w:ind w:left="0" w:right="0" w:firstLine="576"/>
        <w:jc w:val="left"/>
      </w:pPr>
      <w:r>
        <w:rPr/>
        <w:t xml:space="preserve">(5) Behavioral health administrative services organizations and managed care organizations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Behavioral health administrative services organizations and managed care organizations may subject coverage of a telemedicine or store and forward technology behavioral health service under subsection (1) of this section to all terms and conditions of the behavioral health administrative services organization or managed care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administrative services organization or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or</w:t>
      </w:r>
    </w:p>
    <w:p>
      <w:pPr>
        <w:spacing w:before="0" w:after="0" w:line="408" w:lineRule="exact"/>
        <w:ind w:left="0" w:right="0" w:firstLine="576"/>
        <w:jc w:val="left"/>
      </w:pPr>
      <w:r>
        <w:rPr/>
        <w:t xml:space="preserve">(c) An originating site or provider when the site or provider is not a contracted provider.</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authority must adopt rules as necessary to implement the provisions of this section.</w:t>
      </w:r>
    </w:p>
    <w:p/>
    <w:p>
      <w:pPr>
        <w:jc w:val="center"/>
      </w:pPr>
      <w:r>
        <w:rPr>
          <w:b/>
        </w:rPr>
        <w:t>--- END ---</w:t>
      </w:r>
    </w:p>
    <w:sectPr>
      <w:pgNumType w:start="1"/>
      <w:footerReference xmlns:r="http://schemas.openxmlformats.org/officeDocument/2006/relationships" r:id="Rde24d86d066542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9f264ea954c80" /><Relationship Type="http://schemas.openxmlformats.org/officeDocument/2006/relationships/footer" Target="/word/footer1.xml" Id="Rde24d86d06654296" /></Relationships>
</file>