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29917ab0a640c0" /></Relationships>
</file>

<file path=word/document.xml><?xml version="1.0" encoding="utf-8"?>
<w:document xmlns:w="http://schemas.openxmlformats.org/wordprocessingml/2006/main">
  <w:body>
    <w:p>
      <w:r>
        <w:t>S-1065.1</w:t>
      </w:r>
    </w:p>
    <w:p>
      <w:pPr>
        <w:jc w:val="center"/>
      </w:pPr>
      <w:r>
        <w:t>_______________________________________________</w:t>
      </w:r>
    </w:p>
    <w:p/>
    <w:p>
      <w:pPr>
        <w:jc w:val="center"/>
      </w:pPr>
      <w:r>
        <w:rPr>
          <w:b/>
        </w:rPr>
        <w:t>SUBSTITUTE SENATE BILL 5313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Liias, Randall, Darneille, Das, Dhingra, Frockt, Hunt, Keiser, Kuderer, Lovelett, Nguyen, Nobles, Pedersen, Robinson, Stanford, Van De Wege,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insurance discrimination; amending RCW 49.60.178, 41.05.017, and 48.43.0128;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2020 c 52 s 9 are each amended to read as follows:</w:t>
      </w:r>
    </w:p>
    <w:p>
      <w:pPr>
        <w:spacing w:before="0" w:after="0" w:line="408" w:lineRule="exact"/>
        <w:ind w:left="0" w:right="0" w:firstLine="576"/>
        <w:jc w:val="left"/>
      </w:pPr>
      <w:r>
        <w:rPr>
          <w:u w:val="single"/>
        </w:rPr>
        <w:t xml:space="preserve">(1)</w:t>
      </w:r>
      <w:r>
        <w:rPr/>
        <w:t xml:space="preserve"> 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citizenship or immigration status, or the presence of any sensory, mental, or physical disability or the use of a trained dog guide or service animal by a person with disabilities: PROVIDED, That a practice which is not unlawful under RCW 48.30.300, 48.44.220, </w:t>
      </w:r>
      <w:r>
        <w:t>((</w:t>
      </w:r>
      <w:r>
        <w:rPr>
          <w:strike/>
        </w:rPr>
        <w:t xml:space="preserve">or</w:t>
      </w:r>
      <w:r>
        <w:t>))</w:t>
      </w:r>
      <w:r>
        <w:rPr/>
        <w:t xml:space="preserve"> 48.46.370</w:t>
      </w:r>
      <w:r>
        <w:rPr>
          <w:u w:val="single"/>
        </w:rPr>
        <w:t xml:space="preserve">, or 48.43.0128</w:t>
      </w:r>
      <w:r>
        <w:rPr/>
        <w:t xml:space="preserve">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u w:val="single"/>
        </w:rPr>
        <w:t xml:space="preserve">(2)</w:t>
      </w:r>
      <w:r>
        <w:rPr/>
        <w:t xml:space="preserve"> The fact that such unfair practice may also be a violation of chapter 48.30, </w:t>
      </w:r>
      <w:r>
        <w:rPr>
          <w:u w:val="single"/>
        </w:rPr>
        <w:t xml:space="preserve">48.43,</w:t>
      </w:r>
      <w:r>
        <w:rPr/>
        <w:t xml:space="preserve"> 48.44, or 48.46 RCW does not constitute a defense to an action brought under this section.</w:t>
      </w:r>
    </w:p>
    <w:p>
      <w:pPr>
        <w:spacing w:before="0" w:after="0" w:line="408" w:lineRule="exact"/>
        <w:ind w:left="0" w:right="0" w:firstLine="576"/>
        <w:jc w:val="left"/>
      </w:pPr>
      <w:r>
        <w:rPr>
          <w:u w:val="single"/>
        </w:rPr>
        <w:t xml:space="preserve">(3)</w:t>
      </w:r>
      <w:r>
        <w:rPr/>
        <w:t xml:space="preserve"> The insurance commissioner, under RCW 48.30.300 </w:t>
      </w:r>
      <w:r>
        <w:rPr>
          <w:u w:val="single"/>
        </w:rPr>
        <w:t xml:space="preserve">and 48.43.0128</w:t>
      </w:r>
      <w:r>
        <w:rPr/>
        <w:t xml:space="preserve">, and the human rights commission, under chapter 49.60 RCW,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2019 c 427 s 21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w:t>
      </w:r>
      <w:r>
        <w:rPr>
          <w:u w:val="single"/>
        </w:rPr>
        <w:t xml:space="preserve">48.43.0128,</w:t>
      </w:r>
      <w:r>
        <w:rPr/>
        <w:t xml:space="preserve"> and chapter 48.49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2020 c 228 s 9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w:t>
      </w:r>
      <w:r>
        <w:t>((</w:t>
      </w:r>
      <w:r>
        <w:rPr>
          <w:strike/>
        </w:rPr>
        <w:t xml:space="preserve">an issuer</w:t>
      </w:r>
      <w:r>
        <w:t>))</w:t>
      </w:r>
      <w:r>
        <w:rPr/>
        <w:t xml:space="preserve"> </w:t>
      </w:r>
      <w:r>
        <w:rPr>
          <w:u w:val="single"/>
        </w:rPr>
        <w:t xml:space="preserve">a carrier</w:t>
      </w:r>
      <w:r>
        <w:rPr/>
        <w:t xml:space="preserve"> from appropriately utilizing reasonable medical management techniques.</w:t>
      </w:r>
    </w:p>
    <w:p>
      <w:pPr>
        <w:spacing w:before="0" w:after="0" w:line="408" w:lineRule="exact"/>
        <w:ind w:left="0" w:right="0" w:firstLine="576"/>
        <w:jc w:val="left"/>
      </w:pPr>
      <w:r>
        <w:rPr/>
        <w:t xml:space="preserve">(3) </w:t>
      </w:r>
      <w:r>
        <w:rPr>
          <w:u w:val="single"/>
        </w:rPr>
        <w:t xml:space="preserve">For health plans issued or renewed on or after January 1, 2022:</w:t>
      </w:r>
    </w:p>
    <w:p>
      <w:pPr>
        <w:spacing w:before="0" w:after="0" w:line="408" w:lineRule="exact"/>
        <w:ind w:left="0" w:right="0" w:firstLine="576"/>
        <w:jc w:val="left"/>
      </w:pPr>
      <w:r>
        <w:rPr>
          <w:u w:val="single"/>
        </w:rPr>
        <w:t xml:space="preserve">(a) A health carrier must not deny or limit coverage for gender 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u w:val="single"/>
        </w:rPr>
        <w:t xml:space="preserve">(b) A health carrier must not apply categorical cosmetic or blanket exclusions to gender affirming treatment. When prescribed as medically necessary gender affirming treatment, a health carrier must not exclude as cosmetic services facial feminization surgeries and other facial gender affirming treatment, such as tracheal shaves, hair electrolysis, and other care such as mastectomies, breast reductions, breast implants, or any combination of gender affirming procedures, including revisions to prior treatment.</w:t>
      </w:r>
    </w:p>
    <w:p>
      <w:pPr>
        <w:spacing w:before="0" w:after="0" w:line="408" w:lineRule="exact"/>
        <w:ind w:left="0" w:right="0" w:firstLine="576"/>
        <w:jc w:val="left"/>
      </w:pPr>
      <w:r>
        <w:rPr>
          <w:u w:val="single"/>
        </w:rPr>
        <w:t xml:space="preserve">(c) Health carriers must ensure that, prior to making an adverse benefit determination, health care providers who have experience prescribing or delivering gender affirming treatment conduct any prior authorization or utilization review for any claim for gender affirming treatment.</w:t>
      </w:r>
    </w:p>
    <w:p>
      <w:pPr>
        <w:spacing w:before="0" w:after="0" w:line="408" w:lineRule="exact"/>
        <w:ind w:left="0" w:right="0" w:firstLine="576"/>
        <w:jc w:val="left"/>
      </w:pPr>
      <w:r>
        <w:rPr>
          <w:u w:val="single"/>
        </w:rPr>
        <w:t xml:space="preserve">(d) Health carriers must comply with all network access rules and requirements established by the commissioner.</w:t>
      </w:r>
    </w:p>
    <w:p>
      <w:pPr>
        <w:spacing w:before="0" w:after="0" w:line="408" w:lineRule="exact"/>
        <w:ind w:left="0" w:right="0" w:firstLine="576"/>
        <w:jc w:val="left"/>
      </w:pPr>
      <w:r>
        <w:rPr>
          <w:u w:val="single"/>
        </w:rPr>
        <w:t xml:space="preserve">(4) For the purposes of this section, "gender affirming treatment" means a service or product that a health care provider, as defined in RCW 70.02.010, prescribes to an individual to treat any condition related to the individual's gender identity and is prescribed in accordance with generally accepted standards of care. Gender affirming treatment must be covered in a manner compliant with the federal mental health parity and addiction equity act of 2008 and the federal affordable care act. Gender affirming treatment can be prescribed to two spirit, transgender, nonbinary, intersex, and other gender diverse individuals.</w:t>
      </w:r>
    </w:p>
    <w:p>
      <w:pPr>
        <w:spacing w:before="0" w:after="0" w:line="408" w:lineRule="exact"/>
        <w:ind w:left="0" w:right="0" w:firstLine="576"/>
        <w:jc w:val="left"/>
      </w:pPr>
      <w:r>
        <w:rPr>
          <w:u w:val="single"/>
        </w:rPr>
        <w:t xml:space="preserve">(5) Nothing in this section may be construed to mandate coverage of a service that is not medically necessary.</w:t>
      </w:r>
    </w:p>
    <w:p>
      <w:pPr>
        <w:spacing w:before="0" w:after="0" w:line="408" w:lineRule="exact"/>
        <w:ind w:left="0" w:right="0" w:firstLine="576"/>
        <w:jc w:val="left"/>
      </w:pPr>
      <w:r>
        <w:rPr>
          <w:u w:val="single"/>
        </w:rPr>
        <w:t xml:space="preserve">(6) By December 1, 2021, the commissioner, in consultation with the health care authority and the department of health, must issue a report on geographic access to gender affirming treatment across the state. The report must include the number of gender affirming providers offering care in each county, the carriers and medicaid managed care organizations those providers have active contracts with, and the types of services provided by each provider in each region. The commissioner must update the report biannually and post the report on its website.</w:t>
      </w:r>
    </w:p>
    <w:p>
      <w:pPr>
        <w:spacing w:before="0" w:after="0" w:line="408" w:lineRule="exact"/>
        <w:ind w:left="0" w:right="0" w:firstLine="576"/>
        <w:jc w:val="left"/>
      </w:pPr>
      <w:r>
        <w:rPr>
          <w:u w:val="single"/>
        </w:rPr>
        <w:t xml:space="preserve">(7) The commissioner shall adopt any rules necessary to implement subsections (3), (4), and (5) of this section.</w:t>
      </w:r>
    </w:p>
    <w:p>
      <w:pPr>
        <w:spacing w:before="0" w:after="0" w:line="408" w:lineRule="exact"/>
        <w:ind w:left="0" w:right="0" w:firstLine="576"/>
        <w:jc w:val="left"/>
      </w:pPr>
      <w:r>
        <w:rPr>
          <w:u w:val="single"/>
        </w:rPr>
        <w:t xml:space="preserve">(8)</w:t>
      </w:r>
      <w:r>
        <w:rPr/>
        <w:t xml:space="preserve"> Unless preempted by federal law, the commissioner shall adopt any rules necessary to implement </w:t>
      </w:r>
      <w:r>
        <w:rPr>
          <w:u w:val="single"/>
        </w:rPr>
        <w:t xml:space="preserve">subsections (1) and (2) of</w:t>
      </w:r>
      <w:r>
        <w:rPr/>
        <w:t xml:space="preserve">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gender affirming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apply categorical cosmetic or blanket exclusions to gender affirming treatment.</w:t>
      </w:r>
    </w:p>
    <w:p>
      <w:pPr>
        <w:spacing w:before="0" w:after="0" w:line="408" w:lineRule="exact"/>
        <w:ind w:left="0" w:right="0" w:firstLine="576"/>
        <w:jc w:val="left"/>
      </w:pPr>
      <w:r>
        <w:rPr/>
        <w:t xml:space="preserve">(3) Facial feminization surgeries and facial gender affirming treatment, such as tracheal shaves, hair electrolysis, and other care such as mastectomies, breast reductions, breast implants, or any combination of gender affirming procedures, including revisions to prior treatment, when prescribed as gender affirming treatment, shall not be excluded as cosmetic.</w:t>
      </w:r>
    </w:p>
    <w:p>
      <w:pPr>
        <w:spacing w:before="0" w:after="0" w:line="408" w:lineRule="exact"/>
        <w:ind w:left="0" w:right="0" w:firstLine="576"/>
        <w:jc w:val="left"/>
      </w:pPr>
      <w:r>
        <w:rPr/>
        <w:t xml:space="preserve">(4) The authority and managed care plans administering services purchased or contracted for by the authority must ensure that, prior to making an adverse determination, health care providers who have experience prescribing or delivering gender affirming treatment conduct any prior authorization or utilization reviews for any claim for gender affirming treatment.</w:t>
      </w:r>
    </w:p>
    <w:p>
      <w:pPr>
        <w:spacing w:before="0" w:after="0" w:line="408" w:lineRule="exact"/>
        <w:ind w:left="0" w:right="0" w:firstLine="576"/>
        <w:jc w:val="left"/>
      </w:pPr>
      <w:r>
        <w:rPr/>
        <w:t xml:space="preserve">(5) If the authority and managed care plans administering services purchased or contracted for by the authority do not have an adequate network for gender affirming treatment, they shall ensure the delivery of timely and geographically accessible medically necessary gender affirming treatment at no greater expense than if they had an in-network, geographically accessible provider available. This includes, but is not limited to, providing case management services to secure out-of-network gender affirming treatment options that are available to the enrollee in a timely manner within their geographic region. The enrollee shall pay no more than the same cost sharing that the enrollee would pay for the same covered services received from an in-network provider.</w:t>
      </w:r>
    </w:p>
    <w:p>
      <w:pPr>
        <w:spacing w:before="0" w:after="0" w:line="408" w:lineRule="exact"/>
        <w:ind w:left="0" w:right="0" w:firstLine="576"/>
        <w:jc w:val="left"/>
      </w:pPr>
      <w:r>
        <w:rPr/>
        <w:t xml:space="preserve">(6) For the purposes of this section, "gender affirming treatment" means a service or product that a health care provider, as defined in RCW 70.02.010, prescribes to an individual to support and affirm the individual's gender identity. Gender affirming treatment includes, but is not limited to, treatment for gender dysphoria. Gender affirming treatment can be prescribed to two spirit, transgender, nonbinary, and other gender diverse individuals.</w:t>
      </w:r>
    </w:p>
    <w:p>
      <w:pPr>
        <w:spacing w:before="0" w:after="0" w:line="408" w:lineRule="exact"/>
        <w:ind w:left="0" w:right="0" w:firstLine="576"/>
        <w:jc w:val="left"/>
      </w:pPr>
      <w:r>
        <w:rPr/>
        <w:t xml:space="preserve">(7) Nothing in this section may be construed to mandate coverage of a service that is not medically necessary.</w:t>
      </w:r>
    </w:p>
    <w:p/>
    <w:p>
      <w:pPr>
        <w:jc w:val="center"/>
      </w:pPr>
      <w:r>
        <w:rPr>
          <w:b/>
        </w:rPr>
        <w:t>--- END ---</w:t>
      </w:r>
    </w:p>
    <w:sectPr>
      <w:pgNumType w:start="1"/>
      <w:footerReference xmlns:r="http://schemas.openxmlformats.org/officeDocument/2006/relationships" r:id="R438a6c543ffd4c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e9ea72153a41da" /><Relationship Type="http://schemas.openxmlformats.org/officeDocument/2006/relationships/footer" Target="/word/footer1.xml" Id="R438a6c543ffd4c8e" /></Relationships>
</file>