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8faa49bbd4cef" /></Relationships>
</file>

<file path=word/document.xml><?xml version="1.0" encoding="utf-8"?>
<w:document xmlns:w="http://schemas.openxmlformats.org/wordprocessingml/2006/main">
  <w:body>
    <w:p>
      <w:r>
        <w:t>S-0362.1</w:t>
      </w:r>
    </w:p>
    <w:p>
      <w:pPr>
        <w:jc w:val="center"/>
      </w:pPr>
      <w:r>
        <w:t>_______________________________________________</w:t>
      </w:r>
    </w:p>
    <w:p/>
    <w:p>
      <w:pPr>
        <w:jc w:val="center"/>
      </w:pPr>
      <w:r>
        <w:rPr>
          <w:b/>
        </w:rPr>
        <w:t>SENATE BILL 5312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Mullet, Liias, and Van De Wege</w:t>
      </w:r>
    </w:p>
    <w:p/>
    <w:p>
      <w:r>
        <w:rPr>
          <w:t xml:space="preserve">Read first time 01/20/21.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transit-oriented development and increasing housing inventory; and amending RCW 36.70A.500.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(7)(a) Appropriations to the growth management planning and environmental review fund established in RCW 36.70A.490 for the purpose of grants to cities to facilitate transit-oriented development may be used to pay for the costs associated with the preparation of state environmental policy act environmental impact statements, planned action ordinances, subarea plans, costs associated with the utilization of other tools under the state environmental policy act, and the costs of local code adoption and implementation of such efforts.</w:t>
      </w:r>
    </w:p>
    <w:p>
      <w:pPr>
        <w:spacing w:before="0" w:after="0" w:line="408" w:lineRule="exact"/>
        <w:ind w:left="0" w:right="0" w:firstLine="576"/>
        <w:jc w:val="left"/>
      </w:pPr>
      <w:r>
        <w:rPr>
          <w:u w:val="single"/>
        </w:rPr>
        <w:t xml:space="preserve">(b) Grant awards may only fund efforts that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u w:val="single"/>
        </w:rPr>
        <w:t xml:space="preserve">(8) The department shall prioritize applications for grants to facilitate transit-oriented development that maximize the following policy objectives in the area covered by a proposal:</w:t>
      </w:r>
    </w:p>
    <w:p>
      <w:pPr>
        <w:spacing w:before="0" w:after="0" w:line="408" w:lineRule="exact"/>
        <w:ind w:left="0" w:right="0" w:firstLine="576"/>
        <w:jc w:val="left"/>
      </w:pPr>
      <w:r>
        <w:rPr>
          <w:u w:val="single"/>
        </w:rPr>
        <w:t xml:space="preserve">(a) The total number of housing units authorized for new development;</w:t>
      </w:r>
    </w:p>
    <w:p>
      <w:pPr>
        <w:spacing w:before="0" w:after="0" w:line="408" w:lineRule="exact"/>
        <w:ind w:left="0" w:right="0" w:firstLine="576"/>
        <w:jc w:val="left"/>
      </w:pPr>
      <w:r>
        <w:rPr>
          <w:u w:val="single"/>
        </w:rPr>
        <w:t xml:space="preserve">(b) The proximity and quality of transit access in the area;</w:t>
      </w:r>
    </w:p>
    <w:p>
      <w:pPr>
        <w:spacing w:before="0" w:after="0" w:line="408" w:lineRule="exact"/>
        <w:ind w:left="0" w:right="0" w:firstLine="576"/>
        <w:jc w:val="left"/>
      </w:pPr>
      <w:r>
        <w:rPr>
          <w:u w:val="single"/>
        </w:rPr>
        <w:t xml:space="preserve">(c) Plans that authorize up to six stories of building height;</w:t>
      </w:r>
    </w:p>
    <w:p>
      <w:pPr>
        <w:spacing w:before="0" w:after="0" w:line="408" w:lineRule="exact"/>
        <w:ind w:left="0" w:right="0" w:firstLine="576"/>
        <w:jc w:val="left"/>
      </w:pPr>
      <w:r>
        <w:rPr>
          <w:u w:val="single"/>
        </w:rPr>
        <w:t xml:space="preserve">(d) Plans that authorize ground floor retail with housing above;</w:t>
      </w:r>
    </w:p>
    <w:p>
      <w:pPr>
        <w:spacing w:before="0" w:after="0" w:line="408" w:lineRule="exact"/>
        <w:ind w:left="0" w:right="0" w:firstLine="576"/>
        <w:jc w:val="left"/>
      </w:pPr>
      <w:r>
        <w:rPr>
          <w:u w:val="single"/>
        </w:rPr>
        <w:t xml:space="preserve">(e) Plans in areas that minimize or eliminate on-site parking requirements;</w:t>
      </w:r>
    </w:p>
    <w:p>
      <w:pPr>
        <w:spacing w:before="0" w:after="0" w:line="408" w:lineRule="exact"/>
        <w:ind w:left="0" w:right="0" w:firstLine="576"/>
        <w:jc w:val="left"/>
      </w:pPr>
      <w:r>
        <w:rPr>
          <w:u w:val="single"/>
        </w:rPr>
        <w:t xml:space="preserve">(f) Existence or establishment of incentive zoning, mandatory affordability, or other tools to promote low-income housing in the area;</w:t>
      </w:r>
    </w:p>
    <w:p>
      <w:pPr>
        <w:spacing w:before="0" w:after="0" w:line="408" w:lineRule="exact"/>
        <w:ind w:left="0" w:right="0" w:firstLine="576"/>
        <w:jc w:val="left"/>
      </w:pPr>
      <w:r>
        <w:rPr>
          <w:u w:val="single"/>
        </w:rPr>
        <w:t xml:space="preserve">(g) Plans that include dedicated policies to support public or nonprofit funded low-income or workforce housing; and</w:t>
      </w:r>
    </w:p>
    <w:p>
      <w:pPr>
        <w:spacing w:before="0" w:after="0" w:line="408" w:lineRule="exact"/>
        <w:ind w:left="0" w:right="0" w:firstLine="576"/>
        <w:jc w:val="left"/>
      </w:pPr>
      <w:r>
        <w:rPr>
          <w:u w:val="single"/>
        </w:rPr>
        <w:t xml:space="preserve">(h) Plans designed to maximize and increase the variety of allowable housing types and expected sale or rental rates.</w:t>
      </w:r>
    </w:p>
    <w:p>
      <w:pPr>
        <w:spacing w:before="0" w:after="0" w:line="408" w:lineRule="exact"/>
        <w:ind w:left="0" w:right="0" w:firstLine="576"/>
        <w:jc w:val="left"/>
      </w:pPr>
      <w:r>
        <w:rPr>
          <w:u w:val="single"/>
        </w:rPr>
        <w:t xml:space="preserve">(9) For purposes of this section, "transit access" includes walkable access to:</w:t>
      </w:r>
    </w:p>
    <w:p>
      <w:pPr>
        <w:spacing w:before="0" w:after="0" w:line="408" w:lineRule="exact"/>
        <w:ind w:left="0" w:right="0" w:firstLine="576"/>
        <w:jc w:val="left"/>
      </w:pPr>
      <w:r>
        <w:rPr>
          <w:u w:val="single"/>
        </w:rPr>
        <w:t xml:space="preserve">(a) Light rail and other fixed guideway rail systems;</w:t>
      </w:r>
    </w:p>
    <w:p>
      <w:pPr>
        <w:spacing w:before="0" w:after="0" w:line="408" w:lineRule="exact"/>
        <w:ind w:left="0" w:right="0" w:firstLine="576"/>
        <w:jc w:val="left"/>
      </w:pPr>
      <w:r>
        <w:rPr>
          <w:u w:val="single"/>
        </w:rPr>
        <w:t xml:space="preserve">(b) Bus rapid transit;</w:t>
      </w:r>
    </w:p>
    <w:p>
      <w:pPr>
        <w:spacing w:before="0" w:after="0" w:line="408" w:lineRule="exact"/>
        <w:ind w:left="0" w:right="0" w:firstLine="576"/>
        <w:jc w:val="left"/>
      </w:pPr>
      <w:r>
        <w:rPr>
          <w:u w:val="single"/>
        </w:rPr>
        <w:t xml:space="preserve">(c) High frequency bus service; or</w:t>
      </w:r>
    </w:p>
    <w:p>
      <w:pPr>
        <w:spacing w:before="0" w:after="0" w:line="408" w:lineRule="exact"/>
        <w:ind w:left="0" w:right="0" w:firstLine="576"/>
        <w:jc w:val="left"/>
      </w:pPr>
      <w:r>
        <w:rPr>
          <w:u w:val="single"/>
        </w:rPr>
        <w:t xml:space="preserve">(d) Park and ride lots.</w:t>
      </w:r>
    </w:p>
    <w:p/>
    <w:p>
      <w:pPr>
        <w:jc w:val="center"/>
      </w:pPr>
      <w:r>
        <w:rPr>
          <w:b/>
        </w:rPr>
        <w:t>--- END ---</w:t>
      </w:r>
    </w:p>
    <w:sectPr>
      <w:pgNumType w:start="1"/>
      <w:footerReference xmlns:r="http://schemas.openxmlformats.org/officeDocument/2006/relationships" r:id="Rcb1e0a4a34824e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6d6d8be9ea4769" /><Relationship Type="http://schemas.openxmlformats.org/officeDocument/2006/relationships/footer" Target="/word/footer1.xml" Id="Rcb1e0a4a34824e81" /></Relationships>
</file>