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d289a4c05457f" /></Relationships>
</file>

<file path=word/document.xml><?xml version="1.0" encoding="utf-8"?>
<w:document xmlns:w="http://schemas.openxmlformats.org/wordprocessingml/2006/main">
  <w:body>
    <w:p>
      <w:r>
        <w:t>S-1371.1</w:t>
      </w:r>
    </w:p>
    <w:p>
      <w:pPr>
        <w:jc w:val="center"/>
      </w:pPr>
      <w:r>
        <w:t>_______________________________________________</w:t>
      </w:r>
    </w:p>
    <w:p/>
    <w:p>
      <w:pPr>
        <w:jc w:val="center"/>
      </w:pPr>
      <w:r>
        <w:rPr>
          <w:b/>
        </w:rPr>
        <w:t>SUBSTITUTE SENATE BILL 5258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Cleveland, Robinson, Das, Nguyen, Saldaña, and Wilson, C.; by request of Department of Social and Health Services)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directed employers; amending RCW 74.39A.500 and 74.39A.530; and amending 2018 c 278 s 30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500</w:t>
      </w:r>
      <w:r>
        <w:rPr/>
        <w:t xml:space="preserve"> and 2018 c 278 s 3 are each amended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w:t>
      </w:r>
      <w:r>
        <w:rPr>
          <w:u w:val="single"/>
        </w:rPr>
        <w:t xml:space="preserve">A consumer directed employer does not need a separate licensure or certification category.</w:t>
      </w:r>
    </w:p>
    <w:p>
      <w:pPr>
        <w:spacing w:before="0" w:after="0" w:line="408" w:lineRule="exact"/>
        <w:ind w:left="0" w:right="0" w:firstLine="576"/>
        <w:jc w:val="left"/>
      </w:pPr>
      <w:r>
        <w:rPr>
          <w:u w:val="single"/>
        </w:rPr>
        <w:t xml:space="preserve">(h)</w:t>
      </w:r>
      <w:r>
        <w:rPr/>
        <w:t xml:space="preserve">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w:t>
      </w:r>
      <w:r>
        <w:t>((</w:t>
      </w:r>
      <w:r>
        <w:rPr>
          <w:strike/>
        </w:rPr>
        <w:t xml:space="preserve">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strike/>
        </w:rPr>
        <w:t xml:space="preserve">(5)</w:t>
      </w:r>
      <w:r>
        <w:t>))</w:t>
      </w:r>
      <w:r>
        <w:rPr/>
        <w:t xml:space="preserve">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530</w:t>
      </w:r>
      <w:r>
        <w:rPr/>
        <w:t xml:space="preserve"> and 2018 c 278 s 27 are each amended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RCW 74.39A.525,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w:t>
      </w:r>
      <w:r>
        <w:t>((</w:t>
      </w:r>
      <w:r>
        <w:rPr>
          <w:strike/>
        </w:rPr>
        <w:t xml:space="preserve">fourteen person</w:t>
      </w:r>
      <w:r>
        <w:t>))</w:t>
      </w:r>
      <w:r>
        <w:rPr/>
        <w:t xml:space="preserve"> rate-setting board is established </w:t>
      </w:r>
      <w:r>
        <w:rPr>
          <w:u w:val="single"/>
        </w:rPr>
        <w:t xml:space="preserve">which is comprised of the voting members and nonvoting members</w:t>
      </w:r>
      <w:r>
        <w:rPr/>
        <w:t xml:space="preserve"> to evaluate and propose changes in the rates paid to the consumer directed employer.</w:t>
      </w:r>
    </w:p>
    <w:p>
      <w:pPr>
        <w:spacing w:before="0" w:after="0" w:line="408" w:lineRule="exact"/>
        <w:ind w:left="0" w:right="0" w:firstLine="576"/>
        <w:jc w:val="left"/>
      </w:pPr>
      <w:r>
        <w:rPr/>
        <w:t xml:space="preserve">(a) The following </w:t>
      </w:r>
      <w:r>
        <w:t>((</w:t>
      </w:r>
      <w:r>
        <w:rPr>
          <w:strike/>
        </w:rPr>
        <w:t xml:space="preserve">four</w:t>
      </w:r>
      <w:r>
        <w:t>))</w:t>
      </w:r>
      <w:r>
        <w:rPr/>
        <w:t xml:space="preserve">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w:t>
      </w:r>
      <w:r>
        <w:t>((</w:t>
      </w:r>
      <w:r>
        <w:rPr>
          <w:strike/>
        </w:rPr>
        <w:t xml:space="preserve">the</w:t>
      </w:r>
      <w:r>
        <w:t>))</w:t>
      </w:r>
      <w:r>
        <w:rPr/>
        <w:t xml:space="preserve"> </w:t>
      </w:r>
      <w:r>
        <w:rPr>
          <w:u w:val="single"/>
        </w:rPr>
        <w:t xml:space="preserve">each</w:t>
      </w:r>
      <w:r>
        <w:rPr/>
        <w:t xml:space="preserv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w:t>
      </w:r>
      <w:r>
        <w:rPr>
          <w:u w:val="single"/>
        </w:rPr>
        <w:t xml:space="preserve">When the board membership has four voting members listed in subsection (2)(a) of this section, each voting member shall have one vote. When there are five voting members due to two consumer directed employer representatives, each voting member listed in subsection (2)(a) of this section shall have two votes with the exception of the consumer directed employer representatives who shall have one vote. Voting members cannot split their votes. A majority of the voting members of the board constitutes a quorum for the transaction of business and is necessary for any action taken by the board.</w:t>
      </w:r>
    </w:p>
    <w:p>
      <w:pPr>
        <w:spacing w:before="0" w:after="0" w:line="408" w:lineRule="exact"/>
        <w:ind w:left="0" w:right="0" w:firstLine="576"/>
        <w:jc w:val="left"/>
      </w:pPr>
      <w:r>
        <w:rPr>
          <w:u w:val="single"/>
        </w:rPr>
        <w:t xml:space="preserve">(4)</w:t>
      </w:r>
      <w:r>
        <w:rPr/>
        <w:t xml:space="preserve">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 </w:t>
      </w:r>
      <w:r>
        <w:rPr>
          <w:u w:val="single"/>
        </w:rPr>
        <w:t xml:space="preserve">(1) and</w:t>
      </w:r>
      <w:r>
        <w:rPr/>
        <w:t xml:space="preserve"> (5). In addition, the rate-setting board shall attempt to determine an administrative rate for the consumer directed employer.</w:t>
      </w:r>
    </w:p>
    <w:p>
      <w:pPr>
        <w:spacing w:before="0" w:after="0" w:line="408" w:lineRule="exact"/>
        <w:ind w:left="0" w:right="0" w:firstLine="576"/>
        <w:jc w:val="left"/>
      </w:pPr>
      <w:r>
        <w:t>((</w:t>
      </w:r>
      <w:r>
        <w:rPr>
          <w:strike/>
        </w:rPr>
        <w:t xml:space="preserve">(4)</w:t>
      </w:r>
      <w:r>
        <w:t>))</w:t>
      </w:r>
      <w:r>
        <w:rPr/>
        <w:t xml:space="preserve"> </w:t>
      </w:r>
      <w:r>
        <w:rPr>
          <w:u w:val="single"/>
        </w:rPr>
        <w:t xml:space="preserve">In addition, the rate-setting board may take testimony and make a recommendation regarding the administrative vendor rate for home care agencies that serve medicaid clients.</w:t>
      </w:r>
    </w:p>
    <w:p>
      <w:pPr>
        <w:spacing w:before="0" w:after="0" w:line="408" w:lineRule="exact"/>
        <w:ind w:left="0" w:right="0" w:firstLine="576"/>
        <w:jc w:val="left"/>
      </w:pPr>
      <w:r>
        <w:rPr>
          <w:u w:val="single"/>
        </w:rPr>
        <w:t xml:space="preserve">(5) The department shall provide administrative support for the board.</w:t>
      </w:r>
    </w:p>
    <w:p>
      <w:pPr>
        <w:spacing w:before="0" w:after="0" w:line="408" w:lineRule="exact"/>
        <w:ind w:left="0" w:right="0" w:firstLine="576"/>
        <w:jc w:val="left"/>
      </w:pPr>
      <w:r>
        <w:rPr>
          <w:u w:val="single"/>
        </w:rPr>
        <w:t xml:space="preserve">(a)</w:t>
      </w:r>
      <w:r>
        <w:rPr/>
        <w:t xml:space="preserve"> At the commencement of the board's rate-setting activities, the </w:t>
      </w:r>
      <w:r>
        <w:t>((</w:t>
      </w:r>
      <w:r>
        <w:rPr>
          <w:strike/>
        </w:rPr>
        <w:t xml:space="preserve">four</w:t>
      </w:r>
      <w:r>
        <w:t>))</w:t>
      </w:r>
      <w:r>
        <w:rPr/>
        <w:t xml:space="preserve"> voting members must first attempt to select </w:t>
      </w:r>
      <w:r>
        <w:t>((</w:t>
      </w:r>
      <w:r>
        <w:rPr>
          <w:strike/>
        </w:rPr>
        <w:t xml:space="preserve">a fifth</w:t>
      </w:r>
      <w:r>
        <w:t>))</w:t>
      </w:r>
      <w:r>
        <w:rPr/>
        <w:t xml:space="preserve"> </w:t>
      </w:r>
      <w:r>
        <w:rPr>
          <w:u w:val="single"/>
        </w:rPr>
        <w:t xml:space="preserve">an additional</w:t>
      </w:r>
      <w:r>
        <w:rPr/>
        <w:t xml:space="preserve"> voting member, who will chair the rate-setting </w:t>
      </w:r>
      <w:r>
        <w:t>((</w:t>
      </w:r>
      <w:r>
        <w:rPr>
          <w:strike/>
        </w:rPr>
        <w:t xml:space="preserve">panel</w:t>
      </w:r>
      <w:r>
        <w:t>))</w:t>
      </w:r>
      <w:r>
        <w:rPr/>
        <w:t xml:space="preserve"> </w:t>
      </w:r>
      <w:r>
        <w:rPr>
          <w:u w:val="single"/>
        </w:rPr>
        <w:t xml:space="preserve">board</w:t>
      </w:r>
      <w:r>
        <w:rPr/>
        <w:t xml:space="preserve"> and will cast a tie-breaking vote if the </w:t>
      </w:r>
      <w:r>
        <w:t>((</w:t>
      </w:r>
      <w:r>
        <w:rPr>
          <w:strike/>
        </w:rPr>
        <w:t xml:space="preserve">four</w:t>
      </w:r>
      <w:r>
        <w:t>))</w:t>
      </w:r>
      <w:r>
        <w:rPr/>
        <w:t xml:space="preserve"> voting members identified in subsection (2) of this section are unable to </w:t>
      </w:r>
      <w:r>
        <w:t>((</w:t>
      </w:r>
      <w:r>
        <w:rPr>
          <w:strike/>
        </w:rPr>
        <w:t xml:space="preserve">reach an agreement</w:t>
      </w:r>
      <w:r>
        <w:t>))</w:t>
      </w:r>
      <w:r>
        <w:rPr/>
        <w:t xml:space="preserve"> </w:t>
      </w:r>
      <w:r>
        <w:rPr>
          <w:u w:val="single"/>
        </w:rPr>
        <w:t xml:space="preserve">pass by majority vote</w:t>
      </w:r>
      <w:r>
        <w:rPr/>
        <w:t xml:space="preserve"> on the labor rate.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On the first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tie-breaking member by a majority vote, the </w:t>
      </w:r>
      <w:r>
        <w:t>((</w:t>
      </w:r>
      <w:r>
        <w:rPr>
          <w:strike/>
        </w:rPr>
        <w:t xml:space="preserve">fifth</w:t>
      </w:r>
      <w:r>
        <w:t>))</w:t>
      </w:r>
      <w:r>
        <w:rPr/>
        <w:t xml:space="preserve"> </w:t>
      </w:r>
      <w:r>
        <w:rPr>
          <w:u w:val="single"/>
        </w:rPr>
        <w:t xml:space="preserve">chair</w:t>
      </w:r>
      <w:r>
        <w:rPr/>
        <w:t xml:space="preserve"> member will be selected as follows:</w:t>
      </w:r>
    </w:p>
    <w:p>
      <w:pPr>
        <w:spacing w:before="0" w:after="0" w:line="408" w:lineRule="exact"/>
        <w:ind w:left="0" w:right="0" w:firstLine="576"/>
        <w:jc w:val="left"/>
      </w:pPr>
      <w:r>
        <w:rPr/>
        <w:t xml:space="preserve">(i) The </w:t>
      </w:r>
      <w:r>
        <w:t>((</w:t>
      </w:r>
      <w:r>
        <w:rPr>
          <w:strike/>
        </w:rPr>
        <w:t xml:space="preserve">panel</w:t>
      </w:r>
      <w:r>
        <w:t>))</w:t>
      </w:r>
      <w:r>
        <w:rPr/>
        <w:t xml:space="preserve"> </w:t>
      </w:r>
      <w:r>
        <w:rPr>
          <w:u w:val="single"/>
        </w:rPr>
        <w:t xml:space="preserve">voting</w:t>
      </w:r>
      <w:r>
        <w:rPr/>
        <w:t xml:space="preserve"> member representing the governor's office shall request a list of five qualified arbitrators</w:t>
      </w:r>
      <w:r>
        <w:rPr>
          <w:u w:val="single"/>
        </w:rPr>
        <w:t xml:space="preserve">, or six if there are two consumer directed employers,</w:t>
      </w:r>
      <w:r>
        <w:rPr/>
        <w:t xml:space="preserve"> from the federal mediation and conciliation service.</w:t>
      </w:r>
    </w:p>
    <w:p>
      <w:pPr>
        <w:spacing w:before="0" w:after="0" w:line="408" w:lineRule="exact"/>
        <w:ind w:left="0" w:right="0" w:firstLine="576"/>
        <w:jc w:val="left"/>
      </w:pPr>
      <w:r>
        <w:rPr/>
        <w:t xml:space="preserve">(ii) If a majority of the voting members of the </w:t>
      </w:r>
      <w:r>
        <w:t>((</w:t>
      </w:r>
      <w:r>
        <w:rPr>
          <w:strike/>
        </w:rPr>
        <w:t xml:space="preserve">panel</w:t>
      </w:r>
      <w:r>
        <w:t>))</w:t>
      </w:r>
      <w:r>
        <w:rPr/>
        <w:t xml:space="preserve"> </w:t>
      </w:r>
      <w:r>
        <w:rPr>
          <w:u w:val="single"/>
        </w:rPr>
        <w:t xml:space="preserve">board</w:t>
      </w:r>
      <w:r>
        <w:rPr/>
        <w:t xml:space="preserve"> cannot agree on the selection of a neutral arbitrator from the list, the representative from the consumer directed employer </w:t>
      </w:r>
      <w:r>
        <w:rPr>
          <w:u w:val="single"/>
        </w:rPr>
        <w:t xml:space="preserve">who first contacted the department</w:t>
      </w:r>
      <w:r>
        <w:rPr/>
        <w:t xml:space="preserve">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w:t>
      </w:r>
      <w:r>
        <w:rPr>
          <w:u w:val="single"/>
        </w:rPr>
        <w:t xml:space="preserve">if there are two consumer directed employers, the second representative will strike a name from the list,</w:t>
      </w:r>
      <w:r>
        <w:rPr/>
        <w:t xml:space="preserve">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w:t>
      </w:r>
      <w:r>
        <w:t>((</w:t>
      </w:r>
      <w:r>
        <w:rPr>
          <w:strike/>
        </w:rPr>
        <w:t xml:space="preserve">fifth</w:t>
      </w:r>
      <w:r>
        <w:t>))</w:t>
      </w:r>
      <w:r>
        <w:rPr/>
        <w:t xml:space="preserve"> </w:t>
      </w:r>
      <w:r>
        <w:rPr>
          <w:u w:val="single"/>
        </w:rPr>
        <w:t xml:space="preserve">chair</w:t>
      </w:r>
      <w:r>
        <w:rPr/>
        <w:t xml:space="preserve"> member of the </w:t>
      </w:r>
      <w:r>
        <w:t>((</w:t>
      </w:r>
      <w:r>
        <w:rPr>
          <w:strike/>
        </w:rPr>
        <w:t xml:space="preserve">panel</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(iv) If that person is not willing or available to be the </w:t>
      </w:r>
      <w:r>
        <w:t>((</w:t>
      </w:r>
      <w:r>
        <w:rPr>
          <w:strike/>
        </w:rPr>
        <w:t xml:space="preserve">fifth panel</w:t>
      </w:r>
      <w:r>
        <w:t>))</w:t>
      </w:r>
      <w:r>
        <w:rPr/>
        <w:t xml:space="preserve"> </w:t>
      </w:r>
      <w:r>
        <w:rPr>
          <w:u w:val="single"/>
        </w:rPr>
        <w:t xml:space="preserve">chair</w:t>
      </w:r>
      <w:r>
        <w:rPr/>
        <w:t xml:space="preserve"> member, the second to last person remaining on the list shall be asked to be the </w:t>
      </w:r>
      <w:r>
        <w:t>((</w:t>
      </w:r>
      <w:r>
        <w:rPr>
          <w:strike/>
        </w:rPr>
        <w:t xml:space="preserve">fifth panel</w:t>
      </w:r>
      <w:r>
        <w:t>))</w:t>
      </w:r>
      <w:r>
        <w:rPr/>
        <w:t xml:space="preserve"> </w:t>
      </w:r>
      <w:r>
        <w:rPr>
          <w:u w:val="single"/>
        </w:rPr>
        <w:t xml:space="preserve">chair</w:t>
      </w:r>
      <w:r>
        <w:rPr/>
        <w:t xml:space="preserve"> member. If the second to last person is not willing or available, the third to last person shall be asked to be the </w:t>
      </w:r>
      <w:r>
        <w:t>((</w:t>
      </w:r>
      <w:r>
        <w:rPr>
          <w:strike/>
        </w:rPr>
        <w:t xml:space="preserve">fifth</w:t>
      </w:r>
      <w:r>
        <w:t>))</w:t>
      </w:r>
      <w:r>
        <w:rPr/>
        <w:t xml:space="preserve"> </w:t>
      </w:r>
      <w:r>
        <w:rPr>
          <w:u w:val="single"/>
        </w:rPr>
        <w:t xml:space="preserve">chair</w:t>
      </w:r>
      <w:r>
        <w:rPr/>
        <w:t xml:space="preserve"> member. This process of selecting an arbitrator shall be continued until a </w:t>
      </w:r>
      <w:r>
        <w:t>((</w:t>
      </w:r>
      <w:r>
        <w:rPr>
          <w:strike/>
        </w:rPr>
        <w:t xml:space="preserve">fifth</w:t>
      </w:r>
      <w:r>
        <w:t>))</w:t>
      </w:r>
      <w:r>
        <w:rPr/>
        <w:t xml:space="preserve"> </w:t>
      </w:r>
      <w:r>
        <w:rPr>
          <w:u w:val="single"/>
        </w:rPr>
        <w:t xml:space="preserve">chair</w:t>
      </w:r>
      <w:r>
        <w:rPr/>
        <w:t xml:space="preserve"> member of the </w:t>
      </w:r>
      <w:r>
        <w:t>((</w:t>
      </w:r>
      <w:r>
        <w:rPr>
          <w:strike/>
        </w:rPr>
        <w:t xml:space="preserve">panel</w:t>
      </w:r>
      <w:r>
        <w:t>))</w:t>
      </w:r>
      <w:r>
        <w:rPr/>
        <w:t xml:space="preserve"> </w:t>
      </w:r>
      <w:r>
        <w:rPr>
          <w:u w:val="single"/>
        </w:rPr>
        <w:t xml:space="preserve">board</w:t>
      </w:r>
      <w:r>
        <w:rPr/>
        <w:t xml:space="preserve"> is appointed.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On the next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w:t>
      </w:r>
      <w:r>
        <w:t>((</w:t>
      </w:r>
      <w:r>
        <w:rPr>
          <w:strike/>
        </w:rPr>
        <w:t xml:space="preserve">fifth tie-breaking</w:t>
      </w:r>
      <w:r>
        <w:t>))</w:t>
      </w:r>
      <w:r>
        <w:rPr/>
        <w:t xml:space="preserve"> </w:t>
      </w:r>
      <w:r>
        <w:rPr>
          <w:u w:val="single"/>
        </w:rPr>
        <w:t xml:space="preserve">chair</w:t>
      </w:r>
      <w:r>
        <w:rPr/>
        <w:t xml:space="preserve"> member by a majority vote, the </w:t>
      </w:r>
      <w:r>
        <w:t>((</w:t>
      </w:r>
      <w:r>
        <w:rPr>
          <w:strike/>
        </w:rPr>
        <w:t xml:space="preserve">fifth</w:t>
      </w:r>
      <w:r>
        <w:t>))</w:t>
      </w:r>
      <w:r>
        <w:rPr/>
        <w:t xml:space="preserve"> </w:t>
      </w:r>
      <w:r>
        <w:rPr>
          <w:u w:val="single"/>
        </w:rPr>
        <w:t xml:space="preserve">chair</w:t>
      </w:r>
      <w:r>
        <w:rPr/>
        <w:t xml:space="preserve"> member will be selected using the method described in </w:t>
      </w:r>
      <w:r>
        <w:t>((</w:t>
      </w:r>
      <w:r>
        <w:rPr>
          <w:strike/>
        </w:rPr>
        <w:t xml:space="preserve">(a)</w:t>
      </w:r>
      <w:r>
        <w:t>))</w:t>
      </w:r>
      <w:r>
        <w:rPr/>
        <w:t xml:space="preserve"> </w:t>
      </w:r>
      <w:r>
        <w:rPr>
          <w:u w:val="single"/>
        </w:rPr>
        <w:t xml:space="preserve">(b)</w:t>
      </w:r>
      <w:r>
        <w:rPr/>
        <w:t xml:space="preserve"> of this subsection except that the order of </w:t>
      </w:r>
      <w:r>
        <w:t>((</w:t>
      </w:r>
      <w:r>
        <w:rPr>
          <w:strike/>
        </w:rPr>
        <w:t xml:space="preserve">panel</w:t>
      </w:r>
      <w:r>
        <w:t>))</w:t>
      </w:r>
      <w:r>
        <w:rPr/>
        <w:t xml:space="preserve"> </w:t>
      </w:r>
      <w:r>
        <w:rPr>
          <w:u w:val="single"/>
        </w:rPr>
        <w:t xml:space="preserve">board</w:t>
      </w:r>
      <w:r>
        <w:rPr/>
        <w:t xml:space="preserve"> members striking names from the list, described in </w:t>
      </w:r>
      <w:r>
        <w:t>((</w:t>
      </w:r>
      <w:r>
        <w:rPr>
          <w:strike/>
        </w:rPr>
        <w:t xml:space="preserve">(a)</w:t>
      </w:r>
      <w:r>
        <w:t>))</w:t>
      </w:r>
      <w:r>
        <w:rPr/>
        <w:t xml:space="preserve"> </w:t>
      </w:r>
      <w:r>
        <w:rPr>
          <w:u w:val="single"/>
        </w:rPr>
        <w:t xml:space="preserve">(b)</w:t>
      </w:r>
      <w:r>
        <w:rPr/>
        <w:t xml:space="preserve">(ii) of this subsection, shall be reversed.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On each successive occasion that the </w:t>
      </w:r>
      <w:r>
        <w:t>((</w:t>
      </w:r>
      <w:r>
        <w:rPr>
          <w:strike/>
        </w:rPr>
        <w:t xml:space="preserve">four</w:t>
      </w:r>
      <w:r>
        <w:t>))</w:t>
      </w:r>
      <w:r>
        <w:rPr/>
        <w:t xml:space="preserve"> voting members </w:t>
      </w:r>
      <w:r>
        <w:rPr>
          <w:u w:val="single"/>
        </w:rPr>
        <w:t xml:space="preserve">identified in subsection (2)(a) of this section</w:t>
      </w:r>
      <w:r>
        <w:rPr/>
        <w:t xml:space="preserve"> fail to select a </w:t>
      </w:r>
      <w:r>
        <w:t>((</w:t>
      </w:r>
      <w:r>
        <w:rPr>
          <w:strike/>
        </w:rPr>
        <w:t xml:space="preserve">fifth tie-breaking</w:t>
      </w:r>
      <w:r>
        <w:t>))</w:t>
      </w:r>
      <w:r>
        <w:rPr/>
        <w:t xml:space="preserve"> </w:t>
      </w:r>
      <w:r>
        <w:rPr>
          <w:u w:val="single"/>
        </w:rPr>
        <w:t xml:space="preserve">chair</w:t>
      </w:r>
      <w:r>
        <w:rPr/>
        <w:t xml:space="preserve"> member by a majority vote, the order of </w:t>
      </w:r>
      <w:r>
        <w:t>((</w:t>
      </w:r>
      <w:r>
        <w:rPr>
          <w:strike/>
        </w:rPr>
        <w:t xml:space="preserve">panel</w:t>
      </w:r>
      <w:r>
        <w:t>))</w:t>
      </w:r>
      <w:r>
        <w:rPr/>
        <w:t xml:space="preserve"> </w:t>
      </w:r>
      <w:r>
        <w:rPr>
          <w:u w:val="single"/>
        </w:rPr>
        <w:t xml:space="preserve">voting</w:t>
      </w:r>
      <w:r>
        <w:rPr/>
        <w:t xml:space="preserve"> members striking names from the list will continue to alternate between the order described in </w:t>
      </w:r>
      <w:r>
        <w:t>((</w:t>
      </w:r>
      <w:r>
        <w:rPr>
          <w:strike/>
        </w:rPr>
        <w:t xml:space="preserve">(a)</w:t>
      </w:r>
      <w:r>
        <w:t>))</w:t>
      </w:r>
      <w:r>
        <w:rPr/>
        <w:t xml:space="preserve"> </w:t>
      </w:r>
      <w:r>
        <w:rPr>
          <w:u w:val="single"/>
        </w:rPr>
        <w:t xml:space="preserve">(b)</w:t>
      </w:r>
      <w:r>
        <w:rPr/>
        <w:t xml:space="preserve">(ii) and </w:t>
      </w:r>
      <w:r>
        <w:t>((</w:t>
      </w:r>
      <w:r>
        <w:rPr>
          <w:strike/>
        </w:rPr>
        <w:t xml:space="preserve">(b)</w:t>
      </w:r>
      <w:r>
        <w:t>))</w:t>
      </w:r>
      <w:r>
        <w:rPr/>
        <w:t xml:space="preserve"> </w:t>
      </w:r>
      <w:r>
        <w:rPr>
          <w:u w:val="single"/>
        </w:rPr>
        <w:t xml:space="preserve">(c)</w:t>
      </w:r>
      <w:r>
        <w:rPr/>
        <w:t xml:space="preserve">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w:t>
      </w:r>
      <w:r>
        <w:t>((</w:t>
      </w:r>
      <w:r>
        <w:rPr>
          <w:strike/>
        </w:rPr>
        <w:t xml:space="preserve">fifth</w:t>
      </w:r>
      <w:r>
        <w:t>))</w:t>
      </w:r>
      <w:r>
        <w:rPr/>
        <w:t xml:space="preserve"> </w:t>
      </w:r>
      <w:r>
        <w:rPr>
          <w:u w:val="single"/>
        </w:rPr>
        <w:t xml:space="preserve">chair</w:t>
      </w:r>
      <w:r>
        <w:rPr/>
        <w:t xml:space="preserve"> member, who was selected in accordance with subsections (2) and </w:t>
      </w:r>
      <w:r>
        <w:t>((</w:t>
      </w:r>
      <w:r>
        <w:rPr>
          <w:strike/>
        </w:rPr>
        <w:t xml:space="preserve">(4)</w:t>
      </w:r>
      <w:r>
        <w:t>))</w:t>
      </w:r>
      <w:r>
        <w:rPr/>
        <w:t xml:space="preserve"> </w:t>
      </w:r>
      <w:r>
        <w:rPr>
          <w:u w:val="single"/>
        </w:rPr>
        <w:t xml:space="preserve">(5)(a)</w:t>
      </w:r>
      <w:r>
        <w:rPr/>
        <w:t xml:space="preserve">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the rates have been determined in accordance with subsections (3) through </w:t>
      </w:r>
      <w:r>
        <w:t>((</w:t>
      </w:r>
      <w:r>
        <w:rPr>
          <w:strike/>
        </w:rPr>
        <w:t xml:space="preserve">(5)</w:t>
      </w:r>
      <w:r>
        <w:t>))</w:t>
      </w:r>
      <w:r>
        <w:rPr/>
        <w:t xml:space="preserve"> </w:t>
      </w:r>
      <w:r>
        <w:rPr>
          <w:u w:val="single"/>
        </w:rPr>
        <w:t xml:space="preserve">(6)</w:t>
      </w:r>
      <w:r>
        <w:rPr/>
        <w:t xml:space="preserve">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legislature rejects the request under subsection </w:t>
      </w:r>
      <w:r>
        <w:t>((</w:t>
      </w:r>
      <w:r>
        <w:rPr>
          <w:strike/>
        </w:rPr>
        <w:t xml:space="preserve">(5)</w:t>
      </w:r>
      <w:r>
        <w:t>))</w:t>
      </w:r>
      <w:r>
        <w:rPr/>
        <w:t xml:space="preserve"> </w:t>
      </w:r>
      <w:r>
        <w:rPr>
          <w:u w:val="single"/>
        </w:rPr>
        <w:t xml:space="preserve">(6)</w:t>
      </w:r>
      <w:r>
        <w:rPr/>
        <w:t xml:space="preserve">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w:t>
      </w:r>
      <w:r>
        <w:t>((</w:t>
      </w:r>
      <w:r>
        <w:rPr>
          <w:strike/>
        </w:rPr>
        <w:t xml:space="preserve">(9)</w:t>
      </w:r>
      <w:r>
        <w:t>))</w:t>
      </w:r>
      <w:r>
        <w:rPr/>
        <w:t xml:space="preserve"> </w:t>
      </w:r>
      <w:r>
        <w:rPr>
          <w:u w:val="single"/>
        </w:rPr>
        <w:t xml:space="preserve">(10)</w:t>
      </w:r>
      <w:r>
        <w:rPr/>
        <w:t xml:space="preserve"> of this section; (b) any specific legislative appropriation requirement; or (c) a collective bargaining agreement, if applicable.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labor rate shall include a specific hourly amount that the consumer directed employer may use only for health benefits for individual providers.</w:t>
      </w:r>
    </w:p>
    <w:p>
      <w:pPr>
        <w:spacing w:before="0" w:after="0" w:line="408" w:lineRule="exact"/>
        <w:ind w:left="0" w:right="0" w:firstLine="576"/>
        <w:jc w:val="left"/>
      </w:pPr>
      <w:r>
        <w:t>((</w:t>
      </w:r>
      <w:r>
        <w:rPr>
          <w:strike/>
        </w:rPr>
        <w:t xml:space="preserve">(10)</w:t>
      </w:r>
      <w:r>
        <w:t>))</w:t>
      </w:r>
      <w:r>
        <w:rPr/>
        <w:t xml:space="preserve"> </w:t>
      </w:r>
      <w:r>
        <w:rPr>
          <w:u w:val="single"/>
        </w:rPr>
        <w:t xml:space="preserve">(11) The department shall make a one-time transfer of funds totaling the full amount of previously unclaimed paid time off to the consumer directed employer, and shall transfer all associated liabilities for payment of unclaimed paid time off to the consumer directed employer. This amount shall be accounted for as a labor rate payment.</w:t>
      </w:r>
    </w:p>
    <w:p>
      <w:pPr>
        <w:spacing w:before="0" w:after="0" w:line="408" w:lineRule="exact"/>
        <w:ind w:left="0" w:right="0" w:firstLine="576"/>
        <w:jc w:val="left"/>
      </w:pPr>
      <w:r>
        <w:rPr>
          <w:u w:val="single"/>
        </w:rPr>
        <w:t xml:space="preserve">(12) The department shall have the authority to modify the labor rate and the administrative rate between the rate-setting board's rate-setting activities without convening the rate-setting board or following the preceding rate-setting process, subject to the following conditions:</w:t>
      </w:r>
    </w:p>
    <w:p>
      <w:pPr>
        <w:spacing w:before="0" w:after="0" w:line="408" w:lineRule="exact"/>
        <w:ind w:left="0" w:right="0" w:firstLine="576"/>
        <w:jc w:val="left"/>
      </w:pPr>
      <w:r>
        <w:rPr>
          <w:u w:val="single"/>
        </w:rPr>
        <w:t xml:space="preserve">(a) The department finds the changes to the rates necessary to:</w:t>
      </w:r>
    </w:p>
    <w:p>
      <w:pPr>
        <w:spacing w:before="0" w:after="0" w:line="408" w:lineRule="exact"/>
        <w:ind w:left="0" w:right="0" w:firstLine="576"/>
        <w:jc w:val="left"/>
      </w:pPr>
      <w:r>
        <w:rPr>
          <w:u w:val="single"/>
        </w:rPr>
        <w:t xml:space="preserve">(i) Recognize changes to the department's required expenditures or the consumer directed employer's required costs associated with changes to tax rates, required employer contributions, mileage rate allowances, and utilization of overtime to comply with RCW 74.39A.525; or</w:t>
      </w:r>
    </w:p>
    <w:p>
      <w:pPr>
        <w:spacing w:before="0" w:after="0" w:line="408" w:lineRule="exact"/>
        <w:ind w:left="0" w:right="0" w:firstLine="576"/>
        <w:jc w:val="left"/>
      </w:pPr>
      <w:r>
        <w:rPr>
          <w:u w:val="single"/>
        </w:rPr>
        <w:t xml:space="preserve">(ii) Comply with a significant change in state or federal rule or law that would impact the consumer directed employer's ability to operate;</w:t>
      </w:r>
    </w:p>
    <w:p>
      <w:pPr>
        <w:spacing w:before="0" w:after="0" w:line="408" w:lineRule="exact"/>
        <w:ind w:left="0" w:right="0" w:firstLine="576"/>
        <w:jc w:val="left"/>
      </w:pPr>
      <w:r>
        <w:rPr>
          <w:u w:val="single"/>
        </w:rPr>
        <w:t xml:space="preserve">(b) Changes to the rates shall not exceed two percent of the combined labor and administrative rates; and</w:t>
      </w:r>
    </w:p>
    <w:p>
      <w:pPr>
        <w:spacing w:before="0" w:after="0" w:line="408" w:lineRule="exact"/>
        <w:ind w:left="0" w:right="0" w:firstLine="576"/>
        <w:jc w:val="left"/>
      </w:pPr>
      <w:r>
        <w:rPr>
          <w:u w:val="single"/>
        </w:rPr>
        <w:t xml:space="preserve">(c) Any increase to the rates is contingent on appropriation of adequate funds by the legislature.</w:t>
      </w:r>
    </w:p>
    <w:p>
      <w:pPr>
        <w:spacing w:before="0" w:after="0" w:line="408" w:lineRule="exact"/>
        <w:ind w:left="0" w:right="0" w:firstLine="576"/>
        <w:jc w:val="left"/>
      </w:pPr>
      <w:r>
        <w:rPr>
          <w:u w:val="single"/>
        </w:rPr>
        <w:t xml:space="preserve">(13)</w:t>
      </w:r>
      <w:r>
        <w:rPr/>
        <w:t xml:space="preserve">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 </w:t>
      </w:r>
      <w:r>
        <w:rPr>
          <w:u w:val="single"/>
        </w:rPr>
        <w:t xml:space="preserve">including losses for bad debt, compensation for business and occupation taxes on the labor and administrative rates, and all other costs associated with operating as the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278 s 30</w:t>
      </w:r>
      <w:r>
        <w:rPr/>
        <w:t xml:space="preserve"> (uncodified) is amended to read as follows:</w:t>
      </w:r>
    </w:p>
    <w:p>
      <w:pPr>
        <w:spacing w:before="0" w:after="0" w:line="408" w:lineRule="exact"/>
        <w:ind w:left="0" w:right="0" w:firstLine="576"/>
        <w:jc w:val="left"/>
      </w:pP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w:t>
      </w:r>
      <w:r>
        <w:t>((</w:t>
      </w:r>
      <w:r>
        <w:rPr>
          <w:strike/>
        </w:rPr>
        <w:t xml:space="preserve">July 1</w:t>
      </w:r>
      <w:r>
        <w:t>))</w:t>
      </w:r>
      <w:r>
        <w:rPr/>
        <w:t xml:space="preserve"> </w:t>
      </w:r>
      <w:r>
        <w:rPr>
          <w:u w:val="single"/>
        </w:rPr>
        <w:t xml:space="preserve">December 31</w:t>
      </w:r>
      <w:r>
        <w:rPr/>
        <w:t xml:space="preserve">, 2021, when it determines it is ready to do so based upon a readiness review conducted by the department.</w:t>
      </w:r>
    </w:p>
    <w:p>
      <w:pPr>
        <w:spacing w:before="0" w:after="0" w:line="408" w:lineRule="exact"/>
        <w:ind w:left="0" w:right="0" w:firstLine="576"/>
        <w:jc w:val="left"/>
      </w:pPr>
      <w:r>
        <w:rPr/>
        <w:t xml:space="preserve">Nothing in this act shall be deemed to result in individual providers becoming state employees or vesting in the state's public employment retirement system.</w:t>
      </w:r>
    </w:p>
    <w:p/>
    <w:p>
      <w:pPr>
        <w:jc w:val="center"/>
      </w:pPr>
      <w:r>
        <w:rPr>
          <w:b/>
        </w:rPr>
        <w:t>--- END ---</w:t>
      </w:r>
    </w:p>
    <w:sectPr>
      <w:pgNumType w:start="1"/>
      <w:footerReference xmlns:r="http://schemas.openxmlformats.org/officeDocument/2006/relationships" r:id="Rc3f923652bdc41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444e6cc0b84e41" /><Relationship Type="http://schemas.openxmlformats.org/officeDocument/2006/relationships/footer" Target="/word/footer1.xml" Id="Rc3f923652bdc41fd" /></Relationships>
</file>