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2f4bcba689436e" /></Relationships>
</file>

<file path=word/document.xml><?xml version="1.0" encoding="utf-8"?>
<w:document xmlns:w="http://schemas.openxmlformats.org/wordprocessingml/2006/main">
  <w:body>
    <w:p>
      <w:r>
        <w:t>S-0642.1</w:t>
      </w:r>
    </w:p>
    <w:p>
      <w:pPr>
        <w:jc w:val="center"/>
      </w:pPr>
      <w:r>
        <w:t>_______________________________________________</w:t>
      </w:r>
    </w:p>
    <w:p/>
    <w:p>
      <w:pPr>
        <w:jc w:val="center"/>
      </w:pPr>
      <w:r>
        <w:rPr>
          <w:b/>
        </w:rPr>
        <w:t>SUBSTITUTE SENATE BILL 5211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Business, Financial Services &amp; Trade (originally sponsored by Senators Frockt, Mullet, Conway, Kuderer, and Rolfes)</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increment financing; amending RCW 84.55.010;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an amount equal to 100 percent of the then-current assessed value of real property in an increment area, minus the tax allocation base value. If this amount is negative, the increment value shall be equal to zero.</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preparation, construction, reconstruction, rehabilitation, improvement,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that are in excess of costs incurred by the assessor in accordance with the revaluation plan under chapter 84.41 RCW, and the costs of apportioning the taxes and complying with this chapter and other applicable law; and</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local government within or outside of and serving the increment area that include:</w:t>
      </w:r>
    </w:p>
    <w:p>
      <w:pPr>
        <w:spacing w:before="0" w:after="0" w:line="408" w:lineRule="exact"/>
        <w:ind w:left="0" w:right="0" w:firstLine="576"/>
        <w:jc w:val="left"/>
      </w:pPr>
      <w:r>
        <w:rPr/>
        <w:t xml:space="preserve">(i) Street and road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supportive of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 or</w:t>
      </w:r>
    </w:p>
    <w:p>
      <w:pPr>
        <w:spacing w:before="0" w:after="0" w:line="408" w:lineRule="exact"/>
        <w:ind w:left="0" w:right="0" w:firstLine="576"/>
        <w:jc w:val="left"/>
      </w:pPr>
      <w:r>
        <w:rPr/>
        <w:t xml:space="preserve">(iv) Historic preservation activities authorized under RCW 35.21.395.</w:t>
      </w:r>
    </w:p>
    <w:p>
      <w:pPr>
        <w:spacing w:before="0" w:after="0" w:line="408" w:lineRule="exact"/>
        <w:ind w:left="0" w:right="0" w:firstLine="576"/>
        <w:jc w:val="left"/>
      </w:pPr>
      <w:r>
        <w:rPr/>
        <w:t xml:space="preserve">(8) "Regular property taxes" means regular property taxes as defined in RCW 84.04.140, except: (a) Regular property taxes levied by port districts or public utility districts specifically for the purpose of making required payments of principal and interest on general indebtedness; and (b) regular property taxes levied by the state for the support of the common schools under RCW 84.52.065.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(9) "Tax allocation base value" means the assessed value of real property located within an increment area for taxes imposed in the year in which the increment area is first designated.</w:t>
      </w:r>
    </w:p>
    <w:p>
      <w:pPr>
        <w:spacing w:before="0" w:after="0" w:line="408" w:lineRule="exact"/>
        <w:ind w:left="0" w:right="0" w:firstLine="576"/>
        <w:jc w:val="left"/>
      </w:pPr>
      <w:r>
        <w:rPr/>
        <w:t xml:space="preserve">(10) "Tax allocation revenues" means those revenues derived from the imposition of regular property taxes on the increment value.</w:t>
      </w:r>
    </w:p>
    <w:p>
      <w:pPr>
        <w:spacing w:before="0" w:after="0" w:line="408" w:lineRule="exact"/>
        <w:ind w:left="0" w:right="0" w:firstLine="576"/>
        <w:jc w:val="left"/>
      </w:pPr>
      <w:r>
        <w:rPr/>
        <w:t xml:space="preserve">(11)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A local government can have no more than three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(d) The ordinance must set a sunset date for the increment area, which may be no more than 25 years after the adoption of the ordinance designating the increment area;</w:t>
      </w:r>
    </w:p>
    <w:p>
      <w:pPr>
        <w:spacing w:before="0" w:after="0" w:line="408" w:lineRule="exact"/>
        <w:ind w:left="0" w:right="0" w:firstLine="576"/>
        <w:jc w:val="left"/>
      </w:pPr>
      <w:r>
        <w:rPr/>
        <w:t xml:space="preserve">(e) The ordinance must indicate whether the local government intends to issue bonds or other obligations, payable in whole or in part, from tax allocation revenues to finance the public improvement costs, and must estimate the maximum amount of obligations contemplated; and</w:t>
      </w:r>
    </w:p>
    <w:p>
      <w:pPr>
        <w:spacing w:before="0" w:after="0" w:line="408" w:lineRule="exact"/>
        <w:ind w:left="0" w:right="0" w:firstLine="576"/>
        <w:jc w:val="left"/>
      </w:pPr>
      <w:r>
        <w:rPr/>
        <w:t xml:space="preserve">(f)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consider a project analysis that shall include, but need not be limited to, the following:</w:t>
      </w:r>
    </w:p>
    <w:p>
      <w:pPr>
        <w:spacing w:before="0" w:after="0" w:line="408" w:lineRule="exact"/>
        <w:ind w:left="0" w:right="0" w:firstLine="576"/>
        <w:jc w:val="left"/>
      </w:pPr>
      <w:r>
        <w:rPr/>
        <w:t xml:space="preserve">(a) A statement of objectives of the local government designating the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increment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most recent assessed value of real property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and</w:t>
      </w:r>
    </w:p>
    <w:p>
      <w:pPr>
        <w:spacing w:before="0" w:after="0" w:line="408" w:lineRule="exact"/>
        <w:ind w:left="0" w:right="0" w:firstLine="576"/>
        <w:jc w:val="left"/>
      </w:pPr>
      <w:r>
        <w:rPr/>
        <w:t xml:space="preserve">(i) An assessment of any impacts and any necessary mitigation to address the impacts identified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p>
    <w:p>
      <w:pPr>
        <w:spacing w:before="0" w:after="0" w:line="408" w:lineRule="exact"/>
        <w:ind w:left="0" w:right="0" w:firstLine="576"/>
        <w:jc w:val="left"/>
      </w:pPr>
      <w:r>
        <w:rPr/>
        <w:t xml:space="preserve">(3) The local government may charge a private developer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 If the project analysis indicates an impact for the local school district or districts, then the local government must confer with the impacted school district or districts to negotiate the necessary mitigation.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Public improvements that are financed under this chapter may be undertaken and coordinated with other programs or efforts undertaken by the local government and other taxing districts and may be funded in part from revenue sources other than tax allocation revenues.</w:t>
      </w:r>
    </w:p>
    <w:p>
      <w:pPr>
        <w:spacing w:before="0" w:after="0" w:line="408" w:lineRule="exact"/>
        <w:ind w:left="0" w:right="0" w:firstLine="576"/>
        <w:jc w:val="left"/>
      </w:pPr>
      <w:r>
        <w:rPr/>
        <w:t xml:space="preserve">(2) Public improvements that are constructed by a private developer must meet all applicable state and local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local government designating the increment area must:</w:t>
      </w:r>
    </w:p>
    <w:p>
      <w:pPr>
        <w:spacing w:before="0" w:after="0" w:line="408" w:lineRule="exact"/>
        <w:ind w:left="0" w:right="0" w:firstLine="576"/>
        <w:jc w:val="left"/>
      </w:pPr>
      <w:r>
        <w:rPr/>
        <w:t xml:space="preserve">(1) Publish notice in a legal newspaper of general circulation within the jurisdiction of the local government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rPr/>
        <w:t xml:space="preserve">(2) Deliver a certified copy of the ordinance to the county treasurer, the county assessor, and the governing body of each taxing district within which the increment area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Apportionment of taxes shall be as follows:</w:t>
      </w:r>
    </w:p>
    <w:p>
      <w:pPr>
        <w:spacing w:before="0" w:after="0" w:line="408" w:lineRule="exact"/>
        <w:ind w:left="0" w:right="0" w:firstLine="576"/>
        <w:jc w:val="left"/>
      </w:pPr>
      <w:r>
        <w:rPr/>
        <w:t xml:space="preserve">(1) Commencing in the calendar year following the passage of the ordinance, the county treasurer shall distribute receipts from regular property taxes imposed on real property located in the increment area as follows:</w:t>
      </w:r>
    </w:p>
    <w:p>
      <w:pPr>
        <w:spacing w:before="0" w:after="0" w:line="408" w:lineRule="exact"/>
        <w:ind w:left="0" w:right="0" w:firstLine="576"/>
        <w:jc w:val="left"/>
      </w:pPr>
      <w:r>
        <w:rPr/>
        <w:t xml:space="preserve">(a) Each taxing district shall receive that portion of its regular property taxes produced by the rate of tax levied by or for the taxing district on the tax allocation base value for that increment area;</w:t>
      </w:r>
    </w:p>
    <w:p>
      <w:pPr>
        <w:spacing w:before="0" w:after="0" w:line="408" w:lineRule="exact"/>
        <w:ind w:left="0" w:right="0" w:firstLine="576"/>
        <w:jc w:val="left"/>
      </w:pPr>
      <w:r>
        <w:rPr/>
        <w:t xml:space="preserve">(b) The local government that designated the increment area shall be entitled to receive an additional amount equal to the amount derived from the regular property taxes levied by or for each taxing district upon the increment value within the increment area. The local government that designated the increment area may agree to receive less than the full amount of this portion, as long as bond debt service, reserve, and other bond covenant requirements are satisfied, in which case the balance of these tax receipts shall be allocated to the taxing districts that imposed regular property taxes, or have regular property taxes imposed for them, in the increment area for collection that year in proportion to their regular tax levy rates for collection that year. The local government may request that the treasurer transfer this additional portion of the property taxes to its designated agent. The portion of the tax receipts distributed to the local government or its agent under this subsection (1)(b) may only be expended to finance public improvement costs associated with the public improvements financed in whole or in part by tax increment financing; and</w:t>
      </w:r>
    </w:p>
    <w:p>
      <w:pPr>
        <w:spacing w:before="0" w:after="0" w:line="408" w:lineRule="exact"/>
        <w:ind w:left="0" w:right="0" w:firstLine="576"/>
        <w:jc w:val="left"/>
      </w:pPr>
      <w:r>
        <w:rPr/>
        <w:t xml:space="preserve">(c) This section shall not apply to any receipts from the regular property taxes levied by the state for the support of the common schools under RCW 84.52.065.</w:t>
      </w:r>
    </w:p>
    <w:p>
      <w:pPr>
        <w:spacing w:before="0" w:after="0" w:line="408" w:lineRule="exact"/>
        <w:ind w:left="0" w:right="0" w:firstLine="576"/>
        <w:jc w:val="left"/>
      </w:pPr>
      <w:r>
        <w:rPr/>
        <w:t xml:space="preserve">(2) The apportionment of tax allocation revenues must cease when the taxing district certifies to the county assessor in writing that tax allocation revenues are no longer necessary or obligated to pay public improvement costs, but in no event shall the apportionment of tax allocation revenues continue beyond the sunset date established pursuant to section 2(1)(d) of this act. Any excess tax allocation revenues and earnings on the tax allocation revenues remaining at the time the apportionment of tax receipts terminates must be returned to the county treasurer and distributed to the taxing districts that imposed regular property taxes, or had regular property taxes imposed for it, in the increment area for collection that year, in proportion to the rates of their regular property tax levies for collection that year.</w:t>
      </w:r>
    </w:p>
    <w:p>
      <w:pPr>
        <w:spacing w:before="0" w:after="0" w:line="408" w:lineRule="exact"/>
        <w:ind w:left="0" w:right="0" w:firstLine="576"/>
        <w:jc w:val="left"/>
      </w:pPr>
      <w:r>
        <w:rPr/>
        <w:t xml:space="preserve">(3) The apportionment and distribution of portions of the regular property taxes levied by or for each taxing district upon the increment value within the increment area pursuant to and subject to the requirements of this chapter is declared to be a public purpose of and benefit each such taxing district.</w:t>
      </w:r>
    </w:p>
    <w:p>
      <w:pPr>
        <w:spacing w:before="0" w:after="0" w:line="408" w:lineRule="exact"/>
        <w:ind w:left="0" w:right="0" w:firstLine="576"/>
        <w:jc w:val="left"/>
      </w:pPr>
      <w:r>
        <w:rPr/>
        <w:t xml:space="preserve">(4) The apportionment and distribution of portions of the regular property taxes levied by or for each taxing district upon the increment value within the increment area pursuant to this section shall not affect or be deemed to affect the rate of taxes levied by or within any such taxing district or the consistency of any such levies with the uniformity requirement of Article VII,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designating an increment area may incur general indebtedness, and issue general obligation bonds or notes to finance the public improvements and retire the indebtedness, in whole or in part, from tax allocation revenues it receives.</w:t>
      </w:r>
    </w:p>
    <w:p>
      <w:pPr>
        <w:spacing w:before="0" w:after="0" w:line="408" w:lineRule="exact"/>
        <w:ind w:left="0" w:right="0" w:firstLine="576"/>
        <w:jc w:val="left"/>
      </w:pPr>
      <w:r>
        <w:rPr/>
        <w:t xml:space="preserve">(2) The general indebtedness incurred under subsection (1) of this section may be payable from tax allocation revenues and any other sources available to the local government for payment of the public improvement costs, including without limitation: Other tax revenues; the full faith and credit of the local government; nontax income, revenues, fees, and rents from the public improvements; and contributions, grants, and nontax resources.</w:t>
      </w:r>
    </w:p>
    <w:p>
      <w:pPr>
        <w:spacing w:before="0" w:after="0" w:line="408" w:lineRule="exact"/>
        <w:ind w:left="0" w:right="0" w:firstLine="576"/>
        <w:jc w:val="left"/>
      </w:pPr>
      <w:r>
        <w:rPr/>
        <w:t xml:space="preserve">(3) In addition to the requirements in subsection (1) of this section, a local government designating an increment area and authorizing the use of tax increment financing may require the nonpublic participant to provide adequate security to protect the public investment in the public improvement within the increment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direct or collateral attack on the designation of the increment area or the allocation of regular property tax revenues in conformance with applicable legal requirements, including this chapter, may not be commenced more than 30 days after publication of notice as required by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issue revenue bonds to fund revenue-generating public improvements, or portions of public improvements, that are located within an increment area and that it is authorized to provide or operate. Whenever revenue bonds are to be issued, the legislative authority of the local government shall create or have created a special fund or funds from which, along with any reserves created pursuant to RCW 39.44.140, the principal and interest on these revenue bonds shall exclusively be payable. The legislative authority of the local government may obligate the local government to set aside and pay into the special fund or funds a fixed proportion or a fixed amount of the revenues from the public improvements that are funded by the revenue bonds. This amount or proportion is a lien and charge against these revenues, subject only to operating and maintenance expenses. The local government shall have due regard for the cost of operation and maintenance of the public improvements that are funded by the revenue bonds, and shall not set aside into the special fund or funds a greater amount or proportion of the revenues that in its judgment will be available over and above the cost of maintenance and operation and the amount or proportion, if any, of the revenue previously pledged. The local government may also provide that revenue bonds payable out of the same source or sources of revenue may later be issued on a parity with any revenue bonds being issued and sold.</w:t>
      </w:r>
    </w:p>
    <w:p>
      <w:pPr>
        <w:spacing w:before="0" w:after="0" w:line="408" w:lineRule="exact"/>
        <w:ind w:left="0" w:right="0" w:firstLine="576"/>
        <w:jc w:val="left"/>
      </w:pPr>
      <w:r>
        <w:rPr/>
        <w:t xml:space="preserve">(2) Revenue bonds issued under this section are not an indebtedness of the local government issuing the bonds, and the interest and principal on the bonds shall only be payable from the revenues lawfully pledged to meet the principal and interest requirements and any reserves created pursuant to RCW 39.44.140. The owner or bearer of a revenue bond or any interest coupon issued under this section shall not have any claim against the local government arising from the bond or coupon except for payment from the revenues lawfully pledged to meet the principal and interest requirements and any reserves created pursuant to RCW 39.44.140. The substance of the limitations included in this subsection shall be plainly printed, written, or engraved on each bond issued under this section.</w:t>
      </w:r>
    </w:p>
    <w:p>
      <w:pPr>
        <w:spacing w:before="0" w:after="0" w:line="408" w:lineRule="exact"/>
        <w:ind w:left="0" w:right="0" w:firstLine="576"/>
        <w:jc w:val="left"/>
      </w:pPr>
      <w:r>
        <w:rPr/>
        <w:t xml:space="preserve">(3) Revenue bonds with a maturity in excess of 25 years shall not be issued under this section.</w:t>
      </w:r>
    </w:p>
    <w:p>
      <w:pPr>
        <w:spacing w:before="0" w:after="0" w:line="408" w:lineRule="exact"/>
        <w:ind w:left="0" w:right="0" w:firstLine="576"/>
        <w:jc w:val="left"/>
      </w:pPr>
      <w:r>
        <w:rPr/>
        <w:t xml:space="preserve">(4) The legislative authority of the local government shall by resolution determine for each revenue bond issue the amount, date, form, terms, conditions, denominations, maximum fixed or variable interest rate or rates, maturity or maturities, redemption rights, registration privileges, manner of execution, manner of sale, callable provisions, if any, and covenants including the refunding of existing revenue bonds. Facsimile signatures may be used on the bonds and any coupons. Refunding revenue bonds may be issued in the same manner as revenue bonds are issued.</w:t>
      </w:r>
    </w:p>
    <w:p>
      <w:pPr>
        <w:spacing w:before="0" w:after="0" w:line="408" w:lineRule="exact"/>
        <w:ind w:left="0" w:right="0" w:firstLine="576"/>
        <w:jc w:val="left"/>
      </w:pPr>
      <w:r>
        <w:rPr/>
        <w:t xml:space="preserve">(5) The authority to issue revenue bonds under this section is supplementary and in addition to any authority otherwise existing. Nothing in this section limits a local government in the issuance of revenue bonds that are otherwise authorized by law for the construction of additions, betterments, or extensions of utilities within the increment area.</w:t>
      </w:r>
    </w:p>
    <w:p>
      <w:pPr>
        <w:spacing w:before="0" w:after="0" w:line="408" w:lineRule="exact"/>
        <w:ind w:left="0" w:right="0" w:firstLine="576"/>
        <w:jc w:val="left"/>
      </w:pPr>
      <w:r>
        <w:rPr/>
        <w:t xml:space="preserve">(6) Notwithstanding anything to the contrary in this section, revenue bonds issued to finance public improvements may be issued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supplements and neither restricts nor limits any powers that the state or any local government might otherwise have under any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2017 3rd sp.s. c 13 s 302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w:t>
      </w:r>
      <w:r>
        <w:t>((</w:t>
      </w:r>
      <w:r>
        <w:rPr>
          <w:strike/>
        </w:rPr>
        <w:t xml:space="preserve">and</w:t>
      </w:r>
      <w:r>
        <w:t>))</w:t>
      </w:r>
    </w:p>
    <w:p>
      <w:pPr>
        <w:spacing w:before="0" w:after="0" w:line="408" w:lineRule="exact"/>
        <w:ind w:left="0" w:right="0" w:firstLine="576"/>
        <w:jc w:val="left"/>
      </w:pPr>
      <w:r>
        <w:rPr/>
        <w:t xml:space="preserve">(d)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(e) Any increase in the assessed value of real property, as that term is defined in section 1 of this act, within an increment area as designated by any local government in section 2 of this act, provided that such increase is not included elsewhere under this section</w:t>
      </w:r>
      <w:r>
        <w:rPr/>
        <w:t xml:space="preserve">.</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a16af2b9b2e47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50cbf4dee14700" /><Relationship Type="http://schemas.openxmlformats.org/officeDocument/2006/relationships/footer" Target="/word/footer1.xml" Id="Rca16af2b9b2e4774" /></Relationships>
</file>