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c3b3634fce4efd" /></Relationships>
</file>

<file path=word/document.xml><?xml version="1.0" encoding="utf-8"?>
<w:document xmlns:w="http://schemas.openxmlformats.org/wordprocessingml/2006/main">
  <w:body>
    <w:p>
      <w:r>
        <w:t>S-0682.1</w:t>
      </w:r>
    </w:p>
    <w:p>
      <w:pPr>
        <w:jc w:val="center"/>
      </w:pPr>
      <w:r>
        <w:t>_______________________________________________</w:t>
      </w:r>
    </w:p>
    <w:p/>
    <w:p>
      <w:pPr>
        <w:jc w:val="center"/>
      </w:pPr>
      <w:r>
        <w:rPr>
          <w:b/>
        </w:rPr>
        <w:t>SUBSTITUTE SENATE BILL 5210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Behavioral Health Subcommittee to Health &amp; Long Term Care (originally sponsored by Senators Dhingra, Darneille, Kuderer, Nguyen, and Wilson, C.; by request of Department of Social and Health Services)</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updates to competency restoration order requirements; and amending RCW 10.77.086 and 10.77.088.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2019 c 326 s 4 are each amended to read as follows:</w:t>
      </w:r>
    </w:p>
    <w:p>
      <w:pPr>
        <w:spacing w:before="0" w:after="0" w:line="408" w:lineRule="exact"/>
        <w:ind w:left="0" w:right="0" w:firstLine="576"/>
        <w:jc w:val="left"/>
      </w:pPr>
      <w:r>
        <w:rPr/>
        <w:t xml:space="preserve">(1)(a)(i) If the defendant is charged with a felony and determined to be incompetent, until he or she has regained the competency necessary to understand the proceedings against him or her and assist in his or her own defense, but in any event for a period of no longer than </w:t>
      </w:r>
      <w:r>
        <w:t>((</w:t>
      </w:r>
      <w:r>
        <w:rPr>
          <w:strike/>
        </w:rPr>
        <w:t xml:space="preserve">ninety</w:t>
      </w:r>
      <w:r>
        <w:t>))</w:t>
      </w:r>
      <w:r>
        <w:rPr/>
        <w:t xml:space="preserve"> </w:t>
      </w:r>
      <w:r>
        <w:rPr>
          <w:u w:val="single"/>
        </w:rPr>
        <w:t xml:space="preserve">90</w:t>
      </w:r>
      <w:r>
        <w:rPr/>
        <w:t xml:space="preserve"> days, the court shall commit the defendant to the custody of the secretary for </w:t>
      </w:r>
      <w:r>
        <w:rPr>
          <w:u w:val="single"/>
        </w:rPr>
        <w:t xml:space="preserve">inpatient</w:t>
      </w:r>
      <w:r>
        <w:rPr/>
        <w:t xml:space="preserve"> competency restoration</w:t>
      </w:r>
      <w:r>
        <w:t>((</w:t>
      </w:r>
      <w:r>
        <w:rPr>
          <w:strike/>
        </w:rPr>
        <w:t xml:space="preserve">. Based</w:t>
      </w:r>
      <w:r>
        <w:t>))</w:t>
      </w:r>
      <w:r>
        <w:rPr>
          <w:u w:val="single"/>
        </w:rPr>
        <w:t xml:space="preserve">, or may alternatively order the defendant to receive outpatient competency restoration based</w:t>
      </w:r>
      <w:r>
        <w:rPr/>
        <w:t xml:space="preserve"> on a recommendation from a forensic navigator and input from the parties</w:t>
      </w:r>
      <w:r>
        <w:t>((</w:t>
      </w:r>
      <w:r>
        <w:rPr>
          <w:strike/>
        </w:rPr>
        <w:t xml:space="preserve">, the court may order the defendant to receive inpatient competency restoration or outpatient competency restoration</w:t>
      </w:r>
      <w:r>
        <w:t>))</w:t>
      </w:r>
      <w:r>
        <w:rPr/>
        <w:t xml:space="preserve">.</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 </w:t>
      </w:r>
      <w:r>
        <w:t>((</w:t>
      </w:r>
      <w:r>
        <w:rPr>
          <w:strike/>
        </w:rPr>
        <w:t xml:space="preserve">and</w:t>
      </w:r>
      <w:r>
        <w:t>))</w:t>
      </w:r>
    </w:p>
    <w:p>
      <w:pPr>
        <w:spacing w:before="0" w:after="0" w:line="408" w:lineRule="exact"/>
        <w:ind w:left="0" w:right="0" w:firstLine="576"/>
        <w:jc w:val="left"/>
      </w:pPr>
      <w:r>
        <w:rPr/>
        <w:t xml:space="preserve">(II) Abstain from alcohol and unprescribed drugs</w:t>
      </w:r>
      <w:r>
        <w:rPr>
          <w:u w:val="single"/>
        </w:rPr>
        <w:t xml:space="preserve">; and</w:t>
      </w:r>
    </w:p>
    <w:p>
      <w:pPr>
        <w:spacing w:before="0" w:after="0" w:line="408" w:lineRule="exact"/>
        <w:ind w:left="0" w:right="0" w:firstLine="576"/>
        <w:jc w:val="left"/>
      </w:pPr>
      <w:r>
        <w:rPr>
          <w:u w:val="single"/>
        </w:rPr>
        <w:t xml:space="preserve">(III) Comply with urinalysis or breathalyzer monitoring if needed</w:t>
      </w:r>
      <w:r>
        <w:rPr/>
        <w:t xml:space="preserve">.</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and regular urinalysis testing for defendants who have a current substance use disorder diagnosis.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department shall remove the defendant from the outpatient restoration program and place the defendant instead in an appropriate facility of the department for inpatient competency restoration for no longer than the time allowed as if the defendant had been initially placed into inpatient competency restoration, in addition to reasonable time for transport to or from the facility. The department shall notify the court and parties of the change in placement before the close of the next judicial day. The court shall schedule a hearing within five days to review the placement and conditions of release of the defendant and issue appropriate orders. 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(ii) The </w:t>
      </w:r>
      <w:r>
        <w:t>((</w:t>
      </w:r>
      <w:r>
        <w:rPr>
          <w:strike/>
        </w:rPr>
        <w:t xml:space="preserve">ninety</w:t>
      </w:r>
      <w:r>
        <w:t>))</w:t>
      </w:r>
      <w:r>
        <w:rPr/>
        <w:t xml:space="preserve"> </w:t>
      </w:r>
      <w:r>
        <w:rPr>
          <w:u w:val="single"/>
        </w:rPr>
        <w:t xml:space="preserve">90-</w:t>
      </w:r>
      <w:r>
        <w:rPr/>
        <w:t xml:space="preserve">day period for competency restoration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w:t>
      </w:r>
      <w:r>
        <w:t>((</w:t>
      </w:r>
      <w:r>
        <w:rPr>
          <w:strike/>
        </w:rPr>
        <w:t xml:space="preserve">forty-five</w:t>
      </w:r>
      <w:r>
        <w:t>))</w:t>
      </w:r>
      <w:r>
        <w:rPr/>
        <w:t xml:space="preserve"> </w:t>
      </w:r>
      <w:r>
        <w:rPr>
          <w:u w:val="single"/>
        </w:rPr>
        <w:t xml:space="preserve">45</w:t>
      </w:r>
      <w:r>
        <w:rPr/>
        <w:t xml:space="preserve"> days. The </w:t>
      </w:r>
      <w:r>
        <w:t>((</w:t>
      </w:r>
      <w:r>
        <w:rPr>
          <w:strike/>
        </w:rPr>
        <w:t xml:space="preserve">forty-five</w:t>
      </w:r>
      <w:r>
        <w:t>))</w:t>
      </w:r>
      <w:r>
        <w:rPr/>
        <w:t xml:space="preserve"> </w:t>
      </w:r>
      <w:r>
        <w:rPr>
          <w:u w:val="single"/>
        </w:rPr>
        <w:t xml:space="preserve">45-</w:t>
      </w:r>
      <w:r>
        <w:rPr/>
        <w:t xml:space="preserve">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(c) If the court determines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w:t>
      </w:r>
      <w:r>
        <w:t>((</w:t>
      </w:r>
      <w:r>
        <w:rPr>
          <w:strike/>
        </w:rPr>
        <w:t xml:space="preserve">ninety</w:t>
      </w:r>
      <w:r>
        <w:t>))</w:t>
      </w:r>
      <w:r>
        <w:rPr/>
        <w:t xml:space="preserve"> </w:t>
      </w:r>
      <w:r>
        <w:rPr>
          <w:u w:val="single"/>
        </w:rPr>
        <w:t xml:space="preserve">90</w:t>
      </w:r>
      <w:r>
        <w:rPr/>
        <w:t xml:space="preserve">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The </w:t>
      </w:r>
      <w:r>
        <w:t>((</w:t>
      </w:r>
      <w:r>
        <w:rPr>
          <w:strike/>
        </w:rPr>
        <w:t xml:space="preserve">ninety</w:t>
      </w:r>
      <w:r>
        <w:t>))</w:t>
      </w:r>
      <w:r>
        <w:rPr/>
        <w:t xml:space="preserve"> </w:t>
      </w:r>
      <w:r>
        <w:rPr>
          <w:u w:val="single"/>
        </w:rPr>
        <w:t xml:space="preserve">90</w:t>
      </w:r>
      <w:r>
        <w:rPr/>
        <w:t xml:space="preserve">-day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or if the court or jury at any stage finds that the defendant is incompetent and the court determines that the defendant is unlikely to regain competency, the charges shall be dismissed without prejudice, and the court shall order the defendant be committed to a state hospital as defined in RCW 72.23.010 for up to </w:t>
      </w:r>
      <w:r>
        <w:t>((</w:t>
      </w:r>
      <w:r>
        <w:rPr>
          <w:strike/>
        </w:rPr>
        <w:t xml:space="preserve">seventy-two</w:t>
      </w:r>
      <w:r>
        <w:t>))</w:t>
      </w:r>
      <w:r>
        <w:rPr/>
        <w:t xml:space="preserve"> </w:t>
      </w:r>
      <w:r>
        <w:rPr>
          <w:u w:val="single"/>
        </w:rPr>
        <w:t xml:space="preserve">72</w:t>
      </w:r>
      <w:r>
        <w:rPr/>
        <w:t xml:space="preserve">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2020 c 18 s 4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in which case the court shall schedule a hearing within seven days to determine whether to enter an order of competency restoration.</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or not competency restoration treatment is likely to be successful, in addition to the factors listed under RCW 10.77.092. If the prosecuting attorney proves by a preponderance of the evidence that there is a compelling state interest in ordering competency restoration, then the court shall order competency restoration in accordance with subsection (2)(a) of this section.</w:t>
      </w:r>
    </w:p>
    <w:p>
      <w:pPr>
        <w:spacing w:before="0" w:after="0" w:line="408" w:lineRule="exact"/>
        <w:ind w:left="0" w:right="0" w:firstLine="576"/>
        <w:jc w:val="left"/>
      </w:pPr>
      <w:r>
        <w:rPr/>
        <w:t xml:space="preserve">(2)(a) If a court finds pursuant to subsection (1)(b) of this section that there is a compelling state interest in pursuing competency restoration treatment, then the court shall commit the defendant to the custody of the secretary for </w:t>
      </w:r>
      <w:r>
        <w:rPr>
          <w:u w:val="single"/>
        </w:rPr>
        <w:t xml:space="preserve">inpatient</w:t>
      </w:r>
      <w:r>
        <w:rPr/>
        <w:t xml:space="preserve"> competency restoration</w:t>
      </w:r>
      <w:r>
        <w:t>((</w:t>
      </w:r>
      <w:r>
        <w:rPr>
          <w:strike/>
        </w:rPr>
        <w:t xml:space="preserve">. Based</w:t>
      </w:r>
      <w:r>
        <w:t>))</w:t>
      </w:r>
      <w:r>
        <w:rPr>
          <w:u w:val="single"/>
        </w:rPr>
        <w:t xml:space="preserve">, or may alternatively order the defendant to receive outpatient competency restoration based</w:t>
      </w:r>
      <w:r>
        <w:rPr/>
        <w:t xml:space="preserve"> on a recommendation from a forensic navigator and input from the parties</w:t>
      </w:r>
      <w:r>
        <w:t>((</w:t>
      </w:r>
      <w:r>
        <w:rPr>
          <w:strike/>
        </w:rPr>
        <w:t xml:space="preserve">, the court may order the defendant to receive inpatient competency restoration or outpatient competency restoration</w:t>
      </w:r>
      <w:r>
        <w:t>))</w:t>
      </w:r>
      <w:r>
        <w:rPr/>
        <w:t xml:space="preserve">.</w:t>
      </w:r>
    </w:p>
    <w:p>
      <w:pPr>
        <w:spacing w:before="0" w:after="0" w:line="408" w:lineRule="exact"/>
        <w:ind w:left="0" w:right="0" w:firstLine="576"/>
        <w:jc w:val="left"/>
      </w:pPr>
      <w:r>
        <w:rPr/>
        <w:t xml:space="preserve">(i) To be eligible for an order for outpatient competency restoration, a defendant must be clinically appropriate and be willing to:</w:t>
      </w:r>
    </w:p>
    <w:p>
      <w:pPr>
        <w:spacing w:before="0" w:after="0" w:line="408" w:lineRule="exact"/>
        <w:ind w:left="0" w:right="0" w:firstLine="576"/>
        <w:jc w:val="left"/>
      </w:pPr>
      <w:r>
        <w:rPr/>
        <w:t xml:space="preserve">(A) Adhere to medications or receive prescribed intramuscular medication; </w:t>
      </w:r>
      <w:r>
        <w:t>((</w:t>
      </w:r>
      <w:r>
        <w:rPr>
          <w:strike/>
        </w:rPr>
        <w:t xml:space="preserve">and</w:t>
      </w:r>
      <w:r>
        <w:t>))</w:t>
      </w:r>
    </w:p>
    <w:p>
      <w:pPr>
        <w:spacing w:before="0" w:after="0" w:line="408" w:lineRule="exact"/>
        <w:ind w:left="0" w:right="0" w:firstLine="576"/>
        <w:jc w:val="left"/>
      </w:pPr>
      <w:r>
        <w:rPr/>
        <w:t xml:space="preserve">(B) Abstain from alcohol and unprescribed drugs</w:t>
      </w:r>
      <w:r>
        <w:rPr>
          <w:u w:val="single"/>
        </w:rPr>
        <w:t xml:space="preserve">; and</w:t>
      </w:r>
    </w:p>
    <w:p>
      <w:pPr>
        <w:spacing w:before="0" w:after="0" w:line="408" w:lineRule="exact"/>
        <w:ind w:left="0" w:right="0" w:firstLine="576"/>
        <w:jc w:val="left"/>
      </w:pPr>
      <w:r>
        <w:rPr>
          <w:u w:val="single"/>
        </w:rPr>
        <w:t xml:space="preserve">(C) Comply with urinalysis or breathalyzer monitoring if needed</w:t>
      </w:r>
      <w:r>
        <w:rPr/>
        <w:t xml:space="preserve">.</w:t>
      </w:r>
    </w:p>
    <w:p>
      <w:pPr>
        <w:spacing w:before="0" w:after="0" w:line="408" w:lineRule="exact"/>
        <w:ind w:left="0" w:right="0" w:firstLine="576"/>
        <w:jc w:val="left"/>
      </w:pPr>
      <w:r>
        <w:rPr/>
        <w:t xml:space="preserve">(ii) If the court orders inpatient competency restoration, the department shall place the defendant in an appropriate facility of the department for competency restoration under (b) of this subsection.</w:t>
      </w:r>
    </w:p>
    <w:p>
      <w:pPr>
        <w:spacing w:before="0" w:after="0" w:line="408" w:lineRule="exact"/>
        <w:ind w:left="0" w:right="0" w:firstLine="576"/>
        <w:jc w:val="left"/>
      </w:pPr>
      <w:r>
        <w:rPr/>
        <w:t xml:space="preserve">(iii)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and regular urinalysis testing for defendants who have a current substance use disorder diagnosis.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(iv) If a defendant fails to comply with the restrictions of the outpatient competency restoration program such that restoration is no longer appropriate in that setting or the defendant is no longer clinically appropriate for outpatient competency restoration, the department shall remove the defendant from the outpatient restoration program. The department shall place the defendant instead in an appropriate facility of the department for inpatient competency restoration for no longer than </w:t>
      </w:r>
      <w:r>
        <w:t>((</w:t>
      </w:r>
      <w:r>
        <w:rPr>
          <w:strike/>
        </w:rPr>
        <w:t xml:space="preserve">twenty-nine</w:t>
      </w:r>
      <w:r>
        <w:t>))</w:t>
      </w:r>
      <w:r>
        <w:rPr/>
        <w:t xml:space="preserve"> </w:t>
      </w:r>
      <w:r>
        <w:rPr>
          <w:u w:val="single"/>
        </w:rPr>
        <w:t xml:space="preserve">29</w:t>
      </w:r>
      <w:r>
        <w:rPr/>
        <w:t xml:space="preserve"> days regardless of any time spent in outpatient competency restoration, in addition to reasonable time for transport to or from the facility. The department shall notify the court and parties of the change in placement before the close of the next judicial day. The court shall schedule a hearing within five days to review the placement and conditions of release of the defendant and issue appropriate orders. 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t xml:space="preserve">(v)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(b) The placement under (a) of this subsection shall not exceed </w:t>
      </w:r>
      <w:r>
        <w:t>((</w:t>
      </w:r>
      <w:r>
        <w:rPr>
          <w:strike/>
        </w:rPr>
        <w:t xml:space="preserve">twenty-nine</w:t>
      </w:r>
      <w:r>
        <w:t>))</w:t>
      </w:r>
      <w:r>
        <w:rPr/>
        <w:t xml:space="preserve"> </w:t>
      </w:r>
      <w:r>
        <w:rPr>
          <w:u w:val="single"/>
        </w:rPr>
        <w:t xml:space="preserve">29</w:t>
      </w:r>
      <w:r>
        <w:rPr/>
        <w:t xml:space="preserve"> days if the defendant is ordered to receive inpatient competency restoration, or shall not exceed </w:t>
      </w:r>
      <w:r>
        <w:t>((</w:t>
      </w:r>
      <w:r>
        <w:rPr>
          <w:strike/>
        </w:rPr>
        <w:t xml:space="preserve">ninety</w:t>
      </w:r>
      <w:r>
        <w:t>))</w:t>
      </w:r>
      <w:r>
        <w:rPr/>
        <w:t xml:space="preserve"> </w:t>
      </w:r>
      <w:r>
        <w:rPr>
          <w:u w:val="single"/>
        </w:rPr>
        <w:t xml:space="preserve">90</w:t>
      </w:r>
      <w:r>
        <w:rPr/>
        <w:t xml:space="preserve"> days if the defendant is ordered to receive outpatient competency restoration. The court may order any combination of this subsection, not to exceed </w:t>
      </w:r>
      <w:r>
        <w:t>((</w:t>
      </w:r>
      <w:r>
        <w:rPr>
          <w:strike/>
        </w:rPr>
        <w:t xml:space="preserve">ninety</w:t>
      </w:r>
      <w:r>
        <w:t>))</w:t>
      </w:r>
      <w:r>
        <w:rPr/>
        <w:t xml:space="preserve"> </w:t>
      </w:r>
      <w:r>
        <w:rPr>
          <w:u w:val="single"/>
        </w:rPr>
        <w:t xml:space="preserve">90</w:t>
      </w:r>
      <w:r>
        <w:rPr/>
        <w:t xml:space="preserve"> days. This period must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(c)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(d) of this subsection.</w:t>
      </w:r>
    </w:p>
    <w:p>
      <w:pPr>
        <w:spacing w:before="0" w:after="0" w:line="408" w:lineRule="exact"/>
        <w:ind w:left="0" w:right="0" w:firstLine="576"/>
        <w:jc w:val="left"/>
      </w:pPr>
      <w:r>
        <w:rPr/>
        <w:t xml:space="preserve">(d)(i)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w:t>
      </w:r>
      <w:r>
        <w:t>((</w:t>
      </w:r>
      <w:r>
        <w:rPr>
          <w:strike/>
        </w:rPr>
        <w:t xml:space="preserve">seventy-two</w:t>
      </w:r>
      <w:r>
        <w:t>))</w:t>
      </w:r>
      <w:r>
        <w:rPr/>
        <w:t xml:space="preserve"> </w:t>
      </w:r>
      <w:r>
        <w:rPr>
          <w:u w:val="single"/>
        </w:rPr>
        <w:t xml:space="preserve">72</w:t>
      </w:r>
      <w:r>
        <w:rPr/>
        <w:t xml:space="preserve"> hours, excluding Saturdays, Sundays, and holidays, for evaluation for purposes of filing a petition under chapter 71.05 RCW. The </w:t>
      </w:r>
      <w:r>
        <w:t>((</w:t>
      </w:r>
      <w:r>
        <w:rPr>
          <w:strike/>
        </w:rPr>
        <w:t xml:space="preserve">seventy-two</w:t>
      </w:r>
      <w:r>
        <w:t>))</w:t>
      </w:r>
      <w:r>
        <w:rPr/>
        <w:t xml:space="preserve"> </w:t>
      </w:r>
      <w:r>
        <w:rPr>
          <w:u w:val="single"/>
        </w:rPr>
        <w:t xml:space="preserve">72-</w:t>
      </w:r>
      <w:r>
        <w:rPr/>
        <w:t xml:space="preserve">hour period shall commence upon the next nonholiday weekday following the court order and shall run to the end of the last nonholiday weekday within the </w:t>
      </w:r>
      <w:r>
        <w:t>((</w:t>
      </w:r>
      <w:r>
        <w:rPr>
          <w:strike/>
        </w:rPr>
        <w:t xml:space="preserve">seventy-two-</w:t>
      </w:r>
      <w:r>
        <w:t>))</w:t>
      </w:r>
      <w:r>
        <w:rPr/>
        <w:t xml:space="preserve"> </w:t>
      </w:r>
      <w:r>
        <w:rPr>
          <w:u w:val="single"/>
        </w:rPr>
        <w:t xml:space="preserve">72-</w:t>
      </w:r>
      <w:r>
        <w:rPr/>
        <w:t xml:space="preserve">hour period.</w:t>
      </w:r>
    </w:p>
    <w:p>
      <w:pPr>
        <w:spacing w:before="0" w:after="0" w:line="408" w:lineRule="exact"/>
        <w:ind w:left="0" w:right="0" w:firstLine="576"/>
        <w:jc w:val="left"/>
      </w:pPr>
      <w:r>
        <w:rPr/>
        <w:t xml:space="preserve">(3)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w:t>
      </w:r>
      <w:r>
        <w:t>((</w:t>
      </w:r>
      <w:r>
        <w:rPr>
          <w:strike/>
        </w:rPr>
        <w:t xml:space="preserve">twenty-four</w:t>
      </w:r>
      <w:r>
        <w:t>))</w:t>
      </w:r>
      <w:r>
        <w:rPr/>
        <w:t xml:space="preserve"> </w:t>
      </w:r>
      <w:r>
        <w:rPr>
          <w:u w:val="single"/>
        </w:rPr>
        <w:t xml:space="preserve">24</w:t>
      </w:r>
      <w:r>
        <w:rPr/>
        <w:t xml:space="preserve">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(4) If at any time the court dismisses charges under subsections (1) through (3)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
      <w:pPr>
        <w:jc w:val="center"/>
      </w:pPr>
      <w:r>
        <w:rPr>
          <w:b/>
        </w:rPr>
        <w:t>--- END ---</w:t>
      </w:r>
    </w:p>
    <w:sectPr>
      <w:pgNumType w:start="1"/>
      <w:footerReference xmlns:r="http://schemas.openxmlformats.org/officeDocument/2006/relationships" r:id="Ra955b203939a45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5df76f3b3e4045" /><Relationship Type="http://schemas.openxmlformats.org/officeDocument/2006/relationships/footer" Target="/word/footer1.xml" Id="Ra955b203939a4568" /></Relationships>
</file>