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8164b19dc437b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SENATE BILL 5135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2021 Regular Session</w:t>
      </w:r>
    </w:p>
    <w:p/>
    <w:p>
      <w:r>
        <w:rPr>
          <w:b/>
        </w:rPr>
        <w:t xml:space="preserve">By </w:t>
      </w:r>
      <w:r>
        <w:t>Senators Das, Hasegawa, Nguyen, Stanford, and Wilson, C.</w:t>
      </w:r>
    </w:p>
    <w:p/>
    <w:p>
      <w:r>
        <w:rPr>
          <w:t xml:space="preserve">Prefiled 01/08/21.</w:t>
        </w:rPr>
      </w:r>
      <w:r>
        <w:rPr>
          <w:t xml:space="preserve">Read first time 01/11/21.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unlawfully summoning a police officer; and adding a new section to chapter 4.24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</w:t>
      </w:r>
      <w:r>
        <w:rPr/>
        <w:t xml:space="preserve">.</w:t>
      </w:r>
      <w:r>
        <w:t xml:space="preserve">24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may bring a civil action for damages against any person who knowingly causes a law enforcement officer to arrive at a location to contact another person with the intent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Infringe on the other person's rights under the Washington state or United States Constitutions;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Unlawfully discriminate against the other person;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Cause the other person to feel harassed, humiliated, or embarrassed;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Cause the other person to be expelled from a place in which the other person is lawfully located;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Damage the other person's: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Reputation or standing in the community;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Financial, economic, consumer, or business prospects or interests.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person shall not be held liable under subsection (1) of this section if the person acted in good faith in causing a law enforcement officer to arrive.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Upon prevailing in an action under this section, the plaintiff may recover: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greater of: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Economic and noneconomic damages;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$250 against each defendant found liable under this section;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Punitive damages.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court may award reasonable attorneys' fees and costs to the prevailing plaintiff in an action under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A civil action under this section: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May be maintained in a court of limited jurisdiction if the total damages claimed do not exceed the statutory limit for damages that the court of limited jurisdiction may award;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Does not affect a right or remedy available under any other law of this state.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9205894fc06405a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ESB 5135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b835c2ea34f00" /><Relationship Type="http://schemas.openxmlformats.org/officeDocument/2006/relationships/footer" Target="/word/footer1.xml" Id="Rb9205894fc06405a" /></Relationships>
</file>