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7d85b42d1e4a5b" /></Relationships>
</file>

<file path=word/document.xml><?xml version="1.0" encoding="utf-8"?>
<w:document xmlns:w="http://schemas.openxmlformats.org/wordprocessingml/2006/main">
  <w:body>
    <w:p>
      <w:r>
        <w:t>S-0590.1</w:t>
      </w:r>
    </w:p>
    <w:p>
      <w:pPr>
        <w:jc w:val="center"/>
      </w:pPr>
      <w:r>
        <w:t>_______________________________________________</w:t>
      </w:r>
    </w:p>
    <w:p/>
    <w:p>
      <w:pPr>
        <w:jc w:val="center"/>
      </w:pPr>
      <w:r>
        <w:rPr>
          <w:b/>
        </w:rPr>
        <w:t>SUBSTITUTE SENATE BILL 5120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Darneille, Das, Hasegawa, Liias, Lovelett, Mullet, Nguyen, Robinson, Saldaña, and Wilson, C.)</w:t>
      </w:r>
    </w:p>
    <w:p/>
    <w:p>
      <w:r>
        <w:rPr>
          <w:t xml:space="preserve">READ FIRST TIME 01/25/21.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criminal sentencing of youth and young adults; reenacting and amending RCW 9.94A.533; adding a new section to chapter 9.94A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children are different and finds that a scientific consensus has developed that demonstrates that young people continue to develop neurologically until age 26. The legislature finds that until then, young people are less able to make decisions for themselves, are more impulsive, and more susceptible to peer pressure. The legislature finds that as a result, the Washington state supreme court has held that judges, when sentencing individuals in adult court for offenses committed as youth, must consider the mitigating factors relating to their youth and have full discretion to impose any lesser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2020 c 330 s 1 and 2020 c 141 s 1 are each reenacted and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w:t>
      </w:r>
      <w:r>
        <w:rPr>
          <w:u w:val="single"/>
        </w:rPr>
        <w:t xml:space="preserve">Regardless of any provisions in this section, if a person is being sentenced in adult court for a crime committed under age 18, the court must consider the mitigating factors of youth and the court has full discretion to depart from mandatory sentencing enhancements, mandatory minimums, and the standard range sentence to impose any lesser sentence.</w:t>
      </w:r>
    </w:p>
    <w:p>
      <w:pPr>
        <w:spacing w:before="0" w:after="0" w:line="408" w:lineRule="exact"/>
        <w:ind w:left="0" w:right="0" w:firstLine="576"/>
        <w:jc w:val="left"/>
      </w:pPr>
      <w:r>
        <w:rPr>
          <w:u w:val="single"/>
        </w:rPr>
        <w:t xml:space="preserve">(3)</w:t>
      </w:r>
      <w:r>
        <w:rPr/>
        <w:t xml:space="preserve">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w:t>
      </w:r>
      <w:r>
        <w:t>((</w:t>
      </w:r>
      <w:r>
        <w:rPr>
          <w:strike/>
        </w:rPr>
        <w:t xml:space="preserve">seventy-five</w:t>
      </w:r>
      <w:r>
        <w:t>))</w:t>
      </w:r>
      <w:r>
        <w:rPr/>
        <w:t xml:space="preserve"> </w:t>
      </w:r>
      <w:r>
        <w:rPr>
          <w:u w:val="single"/>
        </w:rPr>
        <w:t xml:space="preserve">75</w:t>
      </w:r>
      <w:r>
        <w:rPr/>
        <w:t xml:space="preserve"> percent.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w:t>
      </w:r>
      <w:r>
        <w:t>((</w:t>
      </w:r>
      <w:r>
        <w:rPr>
          <w:strike/>
        </w:rPr>
        <w:t xml:space="preserve">(2)</w:t>
      </w:r>
      <w:r>
        <w:t>))</w:t>
      </w:r>
      <w:r>
        <w:rPr/>
        <w:t xml:space="preserve"> </w:t>
      </w:r>
      <w:r>
        <w:rPr>
          <w:u w:val="single"/>
        </w:rPr>
        <w:t xml:space="preserve">(3)</w:t>
      </w:r>
      <w:r>
        <w:rPr/>
        <w:t xml:space="preserve">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w:t>
      </w:r>
      <w:r>
        <w:t>((</w:t>
      </w:r>
      <w:r>
        <w:rPr>
          <w:strike/>
        </w:rPr>
        <w:t xml:space="preserve">(4)</w:t>
      </w:r>
      <w:r>
        <w:t>))</w:t>
      </w:r>
      <w:r>
        <w:rPr/>
        <w:t xml:space="preserve"> </w:t>
      </w:r>
      <w:r>
        <w:rPr>
          <w:u w:val="single"/>
        </w:rPr>
        <w:t xml:space="preserve">(5)</w:t>
      </w:r>
      <w:r>
        <w:rPr/>
        <w:t xml:space="preserve">(a),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w:t>
      </w:r>
      <w:r>
        <w:t>((</w:t>
      </w:r>
      <w:r>
        <w:rPr>
          <w:strike/>
        </w:rPr>
        <w:t xml:space="preserve">(2)</w:t>
      </w:r>
      <w:r>
        <w:t>))</w:t>
      </w:r>
      <w:r>
        <w:rPr/>
        <w:t xml:space="preserve"> </w:t>
      </w:r>
      <w:r>
        <w:rPr>
          <w:u w:val="single"/>
        </w:rPr>
        <w:t xml:space="preserve">(3)</w:t>
      </w:r>
      <w:r>
        <w:rPr/>
        <w:t xml:space="preserve">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w:t>
      </w:r>
      <w:r>
        <w:t>((</w:t>
      </w:r>
      <w:r>
        <w:rPr>
          <w:strike/>
        </w:rPr>
        <w:t xml:space="preserve">(3)</w:t>
      </w:r>
      <w:r>
        <w:t>))</w:t>
      </w:r>
      <w:r>
        <w:rPr/>
        <w:t xml:space="preserve"> </w:t>
      </w:r>
      <w:r>
        <w:rPr>
          <w:u w:val="single"/>
        </w:rPr>
        <w:t xml:space="preserve">(4)</w:t>
      </w:r>
      <w:r>
        <w:rPr/>
        <w:t xml:space="preserve">(a),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additional </w:t>
      </w:r>
      <w:r>
        <w:t>((</w:t>
      </w:r>
      <w:r>
        <w:rPr>
          <w:strike/>
        </w:rPr>
        <w:t xml:space="preserve">twenty-four</w:t>
      </w:r>
      <w:r>
        <w:t>))</w:t>
      </w:r>
      <w:r>
        <w:rPr/>
        <w:t xml:space="preserve"> </w:t>
      </w:r>
      <w:r>
        <w:rPr>
          <w:u w:val="single"/>
        </w:rPr>
        <w:t xml:space="preserve">24</w:t>
      </w:r>
      <w:r>
        <w:rPr/>
        <w:t xml:space="preserve">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w:t>
      </w:r>
      <w:r>
        <w:t>((</w:t>
      </w:r>
      <w:r>
        <w:rPr>
          <w:strike/>
        </w:rPr>
        <w:t xml:space="preserve">(2)</w:t>
      </w:r>
      <w:r>
        <w:t>))</w:t>
      </w:r>
      <w:r>
        <w:rPr/>
        <w:t xml:space="preserve"> </w:t>
      </w:r>
      <w:r>
        <w:rPr>
          <w:u w:val="single"/>
        </w:rPr>
        <w:t xml:space="preserve">(3)</w:t>
      </w:r>
      <w:r>
        <w:rPr/>
        <w:t xml:space="preserve">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w:t>
      </w:r>
    </w:p>
    <w:p>
      <w:pPr>
        <w:spacing w:before="0" w:after="0" w:line="408" w:lineRule="exact"/>
        <w:ind w:left="0" w:right="0" w:firstLine="576"/>
        <w:jc w:val="left"/>
      </w:pPr>
      <w:r>
        <w:rPr/>
        <w:t xml:space="preserve">(ii) Eighteen months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w:t>
      </w:r>
      <w:r>
        <w:t>((</w:t>
      </w:r>
      <w:r>
        <w:rPr>
          <w:strike/>
        </w:rPr>
        <w:t xml:space="preserve">(2)</w:t>
      </w:r>
      <w:r>
        <w:t>))</w:t>
      </w:r>
      <w:r>
        <w:rPr/>
        <w:t xml:space="preserve"> </w:t>
      </w:r>
      <w:r>
        <w:rPr>
          <w:u w:val="single"/>
        </w:rPr>
        <w:t xml:space="preserve">(3)</w:t>
      </w:r>
      <w:r>
        <w:rPr/>
        <w:t xml:space="preserve"> of this section. For purposes of this subsection, "sexual conduct" means sexual intercourse or sexual contact, both as defined in chapter 9A.44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For a person age </w:t>
      </w:r>
      <w:r>
        <w:t>((</w:t>
      </w:r>
      <w:r>
        <w:rPr>
          <w:strike/>
        </w:rPr>
        <w:t xml:space="preserve">eighteen</w:t>
      </w:r>
      <w:r>
        <w:t>))</w:t>
      </w:r>
      <w:r>
        <w:rPr/>
        <w:t xml:space="preserve"> </w:t>
      </w:r>
      <w:r>
        <w:rPr>
          <w:u w:val="single"/>
        </w:rPr>
        <w:t xml:space="preserve">18</w:t>
      </w:r>
      <w:r>
        <w:rPr/>
        <w:t xml:space="preserve">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w:t>
      </w:r>
      <w:r>
        <w:t>((</w:t>
      </w:r>
      <w:r>
        <w:rPr>
          <w:strike/>
        </w:rPr>
        <w:t xml:space="preserve">one hundred twenty-five</w:t>
      </w:r>
      <w:r>
        <w:t>))</w:t>
      </w:r>
      <w:r>
        <w:rPr/>
        <w:t xml:space="preserve"> </w:t>
      </w:r>
      <w:r>
        <w:rPr>
          <w:u w:val="single"/>
        </w:rPr>
        <w:t xml:space="preserve">125</w:t>
      </w:r>
      <w:r>
        <w:rPr/>
        <w:t xml:space="preser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 additional </w:t>
      </w:r>
      <w:r>
        <w:t>((</w:t>
      </w:r>
      <w:r>
        <w:rPr>
          <w:strike/>
        </w:rPr>
        <w:t xml:space="preserve">twelve</w:t>
      </w:r>
      <w:r>
        <w:t>))</w:t>
      </w:r>
      <w:r>
        <w:rPr/>
        <w:t xml:space="preserve"> </w:t>
      </w:r>
      <w:r>
        <w:rPr>
          <w:u w:val="single"/>
        </w:rPr>
        <w:t xml:space="preserve">12</w:t>
      </w:r>
      <w:r>
        <w:rPr/>
        <w:t xml:space="preser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An additional </w:t>
      </w:r>
      <w:r>
        <w:t>((</w:t>
      </w:r>
      <w:r>
        <w:rPr>
          <w:strike/>
        </w:rPr>
        <w:t xml:space="preserve">twelve</w:t>
      </w:r>
      <w:r>
        <w:t>))</w:t>
      </w:r>
      <w:r>
        <w:rPr/>
        <w:t xml:space="preserve"> </w:t>
      </w:r>
      <w:r>
        <w:rPr>
          <w:u w:val="single"/>
        </w:rPr>
        <w:t xml:space="preserve">12</w:t>
      </w:r>
      <w:r>
        <w:rPr/>
        <w:t xml:space="preserve"> months shall be added to the standard sentence range for an offense that is also a violation of RCW 9.94A.831.</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An additional </w:t>
      </w:r>
      <w:r>
        <w:t>((</w:t>
      </w:r>
      <w:r>
        <w:rPr>
          <w:strike/>
        </w:rPr>
        <w:t xml:space="preserve">twelve</w:t>
      </w:r>
      <w:r>
        <w:t>))</w:t>
      </w:r>
      <w:r>
        <w:rPr/>
        <w:t xml:space="preserve"> </w:t>
      </w:r>
      <w:r>
        <w:rPr>
          <w:u w:val="single"/>
        </w:rPr>
        <w:t xml:space="preserve">12</w:t>
      </w:r>
      <w:r>
        <w:rPr/>
        <w:t xml:space="preser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w:t>
      </w:r>
      <w:r>
        <w:t>((</w:t>
      </w:r>
      <w:r>
        <w:rPr>
          <w:strike/>
        </w:rPr>
        <w:t xml:space="preserve">sixteen</w:t>
      </w:r>
      <w:r>
        <w:t>))</w:t>
      </w:r>
      <w:r>
        <w:rPr/>
        <w:t xml:space="preserve"> </w:t>
      </w:r>
      <w:r>
        <w:rPr>
          <w:u w:val="single"/>
        </w:rPr>
        <w:t xml:space="preserve">16</w:t>
      </w:r>
      <w:r>
        <w:rPr/>
        <w:t xml:space="preserve"> who is an occupant in the defendant's vehicle. These enhancements shall be mandatory, shall be served in total confinement, and shall run consecutively to all other sentencing provisions, including other minor child enhancements, for all offenses sentenced under this chapter. 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 additional </w:t>
      </w:r>
      <w:r>
        <w:t>((</w:t>
      </w:r>
      <w:r>
        <w:rPr>
          <w:strike/>
        </w:rPr>
        <w:t xml:space="preserve">twelve</w:t>
      </w:r>
      <w:r>
        <w:t>))</w:t>
      </w:r>
      <w:r>
        <w:rPr/>
        <w:t xml:space="preserve"> </w:t>
      </w:r>
      <w:r>
        <w:rPr>
          <w:u w:val="single"/>
        </w:rPr>
        <w:t xml:space="preserve">12</w:t>
      </w:r>
      <w:r>
        <w:rPr/>
        <w:t xml:space="preserve"> months shall be added to the standard sentence range for an offense that is also a violation of RCW 9.94A.832.</w:t>
      </w:r>
    </w:p>
    <w:p>
      <w:pPr>
        <w:spacing w:before="0" w:after="0" w:line="408" w:lineRule="exact"/>
        <w:ind w:left="0" w:right="0" w:firstLine="576"/>
        <w:jc w:val="left"/>
      </w:pPr>
      <w:r>
        <w:t>((</w:t>
      </w:r>
      <w:r>
        <w:rPr>
          <w:strike/>
        </w:rPr>
        <w:t xml:space="preserve">(15) Regardless of any provisions in this section, if a person is being sentenced in adult court for a crime committed under age eighteen, the court has full discretion to depart from mandatory sentencing enhancements and to take the particular circumstances surrounding the defendant's youth into account.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In any criminal case where an offender was sentenced, on or before March 2, 2017, in adult court for a crime that occurred under the age of 18, the offender must have a resentencing hearing upon their motion for relief from sentence to the original sentencing court.</w:t>
      </w:r>
    </w:p>
    <w:p>
      <w:pPr>
        <w:spacing w:before="0" w:after="0" w:line="408" w:lineRule="exact"/>
        <w:ind w:left="0" w:right="0" w:firstLine="576"/>
        <w:jc w:val="left"/>
      </w:pPr>
      <w:r>
        <w:rPr/>
        <w:t xml:space="preserve">(2) The sentencing court shall grant the motion for resentencing if it finds that an offender was sentenced in adult court for a crime that occurred under the age of 18.</w:t>
      </w:r>
    </w:p>
    <w:p>
      <w:pPr>
        <w:spacing w:before="0" w:after="0" w:line="408" w:lineRule="exact"/>
        <w:ind w:left="0" w:right="0" w:firstLine="576"/>
        <w:jc w:val="left"/>
      </w:pPr>
      <w:r>
        <w:rPr/>
        <w:t xml:space="preserve">(3) At resentencing, the court shall consider the mitigating factors relating to the offender's youth and the court has full discretion to impose any lesser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causes of action commenced on or after the effective date of this section, regardless of when the cause of action arose. To this extent, this act applies retroactively, but in all other respects it applies prospectively.</w:t>
      </w:r>
    </w:p>
    <w:p/>
    <w:p>
      <w:pPr>
        <w:jc w:val="center"/>
      </w:pPr>
      <w:r>
        <w:rPr>
          <w:b/>
        </w:rPr>
        <w:t>--- END ---</w:t>
      </w:r>
    </w:p>
    <w:sectPr>
      <w:pgNumType w:start="1"/>
      <w:footerReference xmlns:r="http://schemas.openxmlformats.org/officeDocument/2006/relationships" r:id="R684f604fefea48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f31afb715c4d7d" /><Relationship Type="http://schemas.openxmlformats.org/officeDocument/2006/relationships/footer" Target="/word/footer1.xml" Id="R684f604fefea480d" /></Relationships>
</file>