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68827056364e53" /></Relationships>
</file>

<file path=word/document.xml><?xml version="1.0" encoding="utf-8"?>
<w:document xmlns:w="http://schemas.openxmlformats.org/wordprocessingml/2006/main">
  <w:body>
    <w:p>
      <w:r>
        <w:t>S-2240.1</w:t>
      </w:r>
    </w:p>
    <w:p>
      <w:pPr>
        <w:jc w:val="center"/>
      </w:pPr>
      <w:r>
        <w:t>_______________________________________________</w:t>
      </w:r>
    </w:p>
    <w:p/>
    <w:p>
      <w:pPr>
        <w:jc w:val="center"/>
      </w:pPr>
      <w:r>
        <w:rPr>
          <w:b/>
        </w:rPr>
        <w:t>SUBSTITUTE SENATE BILL 5084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Frockt, Mullet, and Wilson, C.; by request of Office of Financial Management)</w:t>
      </w:r>
    </w:p>
    <w:p/>
    <w:p>
      <w:r>
        <w:rPr>
          <w:t xml:space="preserve">READ FIRST TIME 03/29/21.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adding a new chapter to Title 43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2019-2021 and 2021-2023 fiscal biennia, and all costs incidental thereto, the state finance committee is authorized to issue general obligation bonds of the state of Washington in the sum of $3,968,924,000,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$3,750,601,000 to remain in the state building construction account created by RCW 43.83.020;</w:t>
      </w:r>
    </w:p>
    <w:p>
      <w:pPr>
        <w:spacing w:before="0" w:after="0" w:line="408" w:lineRule="exact"/>
        <w:ind w:left="0" w:right="0" w:firstLine="576"/>
        <w:jc w:val="left"/>
      </w:pPr>
      <w:r>
        <w:rPr/>
        <w:t xml:space="preserve">(b) $218,323,000 to the state taxable building construction account. All receipts from taxable bonds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(2) The treasurer shall transfer bond proceeds deposited in the state building construction account into the outdoor recreation account created by RCW 79A.25.060, the habitat conservation account created by RCW 79A.15.020, the farm and forest account created by RCW 79A.15.130, and the early learning facilities development account created by RCW 43.31.569, at various times and in various amounts necessary to support authorized expenditures from those accounts.</w:t>
      </w:r>
    </w:p>
    <w:p>
      <w:pPr>
        <w:spacing w:before="0" w:after="0" w:line="408" w:lineRule="exact"/>
        <w:ind w:left="0" w:right="0" w:firstLine="576"/>
        <w:jc w:val="left"/>
      </w:pPr>
      <w:r>
        <w:rPr/>
        <w:t xml:space="preserve">(3)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section 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2 (1) and (2)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 of this act, and sections 2 and 3 of this act shall not be deemed to provide an exclusive method for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Title 43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ec03a3c8d8e41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aefa6ed45a419c" /><Relationship Type="http://schemas.openxmlformats.org/officeDocument/2006/relationships/footer" Target="/word/footer1.xml" Id="R7ec03a3c8d8e4171" /></Relationships>
</file>