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da3cd603c448c5" /></Relationships>
</file>

<file path=word/document.xml><?xml version="1.0" encoding="utf-8"?>
<w:document xmlns:w="http://schemas.openxmlformats.org/wordprocessingml/2006/main">
  <w:body>
    <w:p>
      <w:r>
        <w:t>S-0827.1</w:t>
      </w:r>
    </w:p>
    <w:p>
      <w:pPr>
        <w:jc w:val="center"/>
      </w:pPr>
      <w:r>
        <w:t>_______________________________________________</w:t>
      </w:r>
    </w:p>
    <w:p/>
    <w:p>
      <w:pPr>
        <w:jc w:val="center"/>
      </w:pPr>
      <w:r>
        <w:rPr>
          <w:b/>
        </w:rPr>
        <w:t>SUBSTITUTE SENATE BILL 5079</w:t>
      </w:r>
    </w:p>
    <w:p>
      <w:pPr>
        <w:jc w:val="center"/>
      </w:pPr>
      <w:r>
        <w:t>_______________________________________________</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Das, Kuderer, Hasegawa, Hunt, Keiser, Lovelett, Robinson, Rolfes, Stanford, and Wilson, C.)</w:t>
      </w:r>
    </w:p>
    <w:p/>
    <w:p>
      <w:r>
        <w:rPr>
          <w:t xml:space="preserve">READ FIRST TIME 02/05/21.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closure notice period for manufactured/mobile home communities; amending RCW 59.20.060, 59.20.073, 59.20.080, and 59.21.030;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w:t>
      </w:r>
    </w:p>
    <w:p>
      <w:pPr>
        <w:spacing w:before="0" w:after="0" w:line="408" w:lineRule="exact"/>
        <w:ind w:left="0" w:right="0" w:firstLine="576"/>
        <w:jc w:val="left"/>
      </w:pPr>
      <w:r>
        <w:rPr/>
        <w:t xml:space="preserve">(1) Manufactured/mobile homes provide a significant source of homeownership opportunities for Washington state residents. However, the increasing number of closures and conversions to other uses of manufactured housing communities and mobile home parks, combined with low vacancy rates in existing parks and communities and the extremely high cost of moving homes when these parks and communities close, make this type of affordable housing option increasingly insecure for the tenants who reside in these parks and communities.</w:t>
      </w:r>
    </w:p>
    <w:p>
      <w:pPr>
        <w:spacing w:before="0" w:after="0" w:line="408" w:lineRule="exact"/>
        <w:ind w:left="0" w:right="0" w:firstLine="576"/>
        <w:jc w:val="left"/>
      </w:pPr>
      <w:r>
        <w:rPr/>
        <w:t xml:space="preserve">(2) Many tenants who reside in these parks and communities are senior citizens or low-income households and are, therefore, the residents most in need of reasonable security or permanency in the siting of their home because of the adverse impacts on the health, safety, and welfare of tenants forced to move due to closure or conversion to another use of the manufactured housing community or mobile home park.</w:t>
      </w:r>
    </w:p>
    <w:p>
      <w:pPr>
        <w:spacing w:before="0" w:after="0" w:line="408" w:lineRule="exact"/>
        <w:ind w:left="0" w:right="0" w:firstLine="576"/>
        <w:jc w:val="left"/>
      </w:pPr>
      <w:r>
        <w:rPr/>
        <w:t xml:space="preserve">(3) Manufactured/mobile home tenants have a reasonable expectation of long-term security when they move their home into a community or park. Some tenants have been forced to relocate due to a closure or conversion soon after the tenant has moved into the community or park. The legislature finds that unless a park owner sells the park to resident homeowners or another entity with the purpose of preservation or justly compensates the homeowners for the loss of their homes, a minimum notification period of three years before the closure or conversion of a community or park is a reasonable balancing of the rights and interests of both community and park owners and the manufactured/mobile home owners.</w:t>
      </w:r>
    </w:p>
    <w:p>
      <w:pPr>
        <w:spacing w:before="0" w:after="0" w:line="408" w:lineRule="exact"/>
        <w:ind w:left="0" w:right="0" w:firstLine="576"/>
        <w:jc w:val="left"/>
      </w:pPr>
      <w:r>
        <w:rPr/>
        <w:t xml:space="preserve">(4) Given the effort and expense involved in moving a manufactured/mobile home and the imbalance of economic power in this type of landlord-tenant relationship, it is the intent of the legislature to provide an opportunity for manufactured/mobile home tenants to remain in manufactured housing communities and mobile home parks for at least three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2019 c 390 s 17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w:t>
      </w:r>
      <w:r>
        <w:t>((</w:t>
      </w:r>
      <w:r>
        <w:rPr>
          <w:strike/>
        </w:rPr>
        <w:t xml:space="preserve">(i)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strike/>
        </w:rPr>
        <w:t xml:space="preserve">(ii)</w:t>
      </w:r>
      <w:r>
        <w:t>))</w:t>
      </w:r>
      <w:r>
        <w:rPr/>
        <w:t xml:space="preserve"> A </w:t>
      </w:r>
      <w:r>
        <w:t>((</w:t>
      </w:r>
      <w:r>
        <w:rPr>
          <w:strike/>
        </w:rPr>
        <w:t xml:space="preserve">rental agreement may, in the alternative, contain a</w:t>
      </w:r>
      <w:r>
        <w:t>))</w:t>
      </w:r>
      <w:r>
        <w:rPr/>
        <w:t xml:space="preserve"> statement that: "The park may be sold or otherwise transferred at any time with the result that subsequent owners may close the mobile home park, or that the landlord may close the park at any time after the required closure notice as provided in RCW 59.20.080." The </w:t>
      </w:r>
      <w:r>
        <w:t>((</w:t>
      </w:r>
      <w:r>
        <w:rPr>
          <w:strike/>
        </w:rPr>
        <w:t xml:space="preserve">covenant or</w:t>
      </w:r>
      <w:r>
        <w:t>))</w:t>
      </w:r>
      <w:r>
        <w:rPr/>
        <w:t xml:space="preserve"> statement required by this subsection must: </w:t>
      </w:r>
      <w:r>
        <w:t>((</w:t>
      </w:r>
      <w:r>
        <w:rPr>
          <w:strike/>
        </w:rPr>
        <w:t xml:space="preserve">(A)</w:t>
      </w:r>
      <w:r>
        <w:t>))</w:t>
      </w:r>
      <w:r>
        <w:rPr/>
        <w:t xml:space="preserve"> </w:t>
      </w:r>
      <w:r>
        <w:rPr>
          <w:u w:val="single"/>
        </w:rPr>
        <w:t xml:space="preserve">(i)</w:t>
      </w:r>
      <w:r>
        <w:rPr/>
        <w:t xml:space="preserve"> Appear in print that is in bold face and is larger than the other text of the rental agreement; </w:t>
      </w:r>
      <w:r>
        <w:t>((</w:t>
      </w:r>
      <w:r>
        <w:rPr>
          <w:strike/>
        </w:rPr>
        <w:t xml:space="preserve">(B)</w:t>
      </w:r>
      <w:r>
        <w:t>))</w:t>
      </w:r>
      <w:r>
        <w:rPr/>
        <w:t xml:space="preserve"> </w:t>
      </w:r>
      <w:r>
        <w:rPr>
          <w:u w:val="single"/>
        </w:rPr>
        <w:t xml:space="preserve">(ii)</w:t>
      </w:r>
      <w:r>
        <w:rPr/>
        <w:t xml:space="preserve"> be set off by means of a box, blank space, or comparable visual device; and </w:t>
      </w:r>
      <w:r>
        <w:t>((</w:t>
      </w:r>
      <w:r>
        <w:rPr>
          <w:strike/>
        </w:rPr>
        <w:t xml:space="preserve">(C)</w:t>
      </w:r>
      <w:r>
        <w:t>))</w:t>
      </w:r>
      <w:r>
        <w:rPr/>
        <w:t xml:space="preserve"> </w:t>
      </w:r>
      <w:r>
        <w:rPr>
          <w:u w:val="single"/>
        </w:rPr>
        <w:t xml:space="preserve">(iii)</w:t>
      </w:r>
      <w:r>
        <w:rPr/>
        <w:t xml:space="preserve"> be located directly above the tenant's signature on the rental agreement;</w:t>
      </w:r>
    </w:p>
    <w:p>
      <w:pPr>
        <w:spacing w:before="0" w:after="0" w:line="408" w:lineRule="exact"/>
        <w:ind w:left="0" w:right="0" w:firstLine="576"/>
        <w:jc w:val="left"/>
      </w:pPr>
      <w:r>
        <w:rPr/>
        <w:t xml:space="preserve">(h) A copy of a closure notice, as required in RCW 59.20.080, if such notice is in effect;</w:t>
      </w:r>
    </w:p>
    <w:p>
      <w:pPr>
        <w:spacing w:before="0" w:after="0" w:line="408" w:lineRule="exact"/>
        <w:ind w:left="0" w:right="0" w:firstLine="576"/>
        <w:jc w:val="left"/>
      </w:pPr>
      <w:r>
        <w:rPr/>
        <w:t xml:space="preserve">(i)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rPr/>
        <w:t xml:space="preserve">(j) A listing of the utilities, services, and facilities which will be available to the tenant during the tenancy and the nature of the fees, if any, to be charged together with a statement that, in the event any utilities are changed to be charged independent of the rent during the term of the rental agreement, the landlord agrees to decrease the amount of the rent charged proportionately;</w:t>
      </w:r>
    </w:p>
    <w:p>
      <w:pPr>
        <w:spacing w:before="0" w:after="0" w:line="408" w:lineRule="exact"/>
        <w:ind w:left="0" w:right="0" w:firstLine="576"/>
        <w:jc w:val="left"/>
      </w:pPr>
      <w:r>
        <w:rPr/>
        <w:t xml:space="preserve">(k)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rPr/>
        <w:t xml:space="preserve">(l) A written description, picture, plan, or map of the location of the tenant's responsibility for utility hook-ups, consistent with RCW 59.20.130(6);</w:t>
      </w:r>
    </w:p>
    <w:p>
      <w:pPr>
        <w:spacing w:before="0" w:after="0" w:line="408" w:lineRule="exact"/>
        <w:ind w:left="0" w:right="0" w:firstLine="576"/>
        <w:jc w:val="left"/>
      </w:pPr>
      <w:r>
        <w:rPr/>
        <w:t xml:space="preserve">(m) A statement of the current zoning of the land on which the mobile home park is located;</w:t>
      </w:r>
    </w:p>
    <w:p>
      <w:pPr>
        <w:spacing w:before="0" w:after="0" w:line="408" w:lineRule="exact"/>
        <w:ind w:left="0" w:right="0" w:firstLine="576"/>
        <w:jc w:val="left"/>
      </w:pPr>
      <w:r>
        <w:rPr/>
        <w:t xml:space="preserve">(n) A statement of the expiration date of any conditional use, temporary use, or other land use permit subject to a fixed expiration date that is necessary for the continued use of the land as a mobile home park; and</w:t>
      </w:r>
    </w:p>
    <w:p>
      <w:pPr>
        <w:spacing w:before="0" w:after="0" w:line="408" w:lineRule="exact"/>
        <w:ind w:left="0" w:right="0" w:firstLine="576"/>
        <w:jc w:val="left"/>
      </w:pPr>
      <w:r>
        <w:rPr/>
        <w:t xml:space="preserve">(o) A written statement containing accurate historical information regarding the past five years' rental amount charged for the lot or space.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two years, or (ii) more frequently than annually if the initial term is for two years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two years may provide for annual increases in rent in specified amounts or by a formula specified in such agreement.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w:t>
      </w:r>
      <w:r>
        <w:t>((</w:t>
      </w:r>
      <w:r>
        <w:rPr>
          <w:strike/>
        </w:rPr>
        <w:t xml:space="preserve">fifteen</w:t>
      </w:r>
      <w:r>
        <w:t>))</w:t>
      </w:r>
      <w:r>
        <w:rPr/>
        <w:t xml:space="preserve"> </w:t>
      </w:r>
      <w:r>
        <w:rPr>
          <w:u w:val="single"/>
        </w:rPr>
        <w:t xml:space="preserve">15</w:t>
      </w:r>
      <w:r>
        <w:rPr/>
        <w:t xml:space="preserve"> days in any </w:t>
      </w:r>
      <w:r>
        <w:t>((</w:t>
      </w:r>
      <w:r>
        <w:rPr>
          <w:strike/>
        </w:rPr>
        <w:t xml:space="preserve">sixty-day</w:t>
      </w:r>
      <w:r>
        <w:t>))</w:t>
      </w:r>
      <w:r>
        <w:rPr/>
        <w:t xml:space="preserve"> </w:t>
      </w:r>
      <w:r>
        <w:rPr>
          <w:u w:val="single"/>
        </w:rPr>
        <w:t xml:space="preserve">60-day</w:t>
      </w:r>
      <w:r>
        <w:rPr/>
        <w:t xml:space="preserve">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2019 c 342 s 5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w:t>
      </w:r>
      <w:r>
        <w:rPr>
          <w:u w:val="single"/>
        </w:rPr>
        <w:t xml:space="preserve">A tenant who sells a mobile home, manufactured home, or park model within a park must provide the buyer with a copy of a closure notice provided by the landlord pursuant to RCW 59.20.080, if such notice is in effect, at least 15 days in advance of the intended sale and transfer.</w:t>
      </w:r>
    </w:p>
    <w:p>
      <w:pPr>
        <w:spacing w:before="0" w:after="0" w:line="408" w:lineRule="exact"/>
        <w:ind w:left="0" w:right="0" w:firstLine="576"/>
        <w:jc w:val="left"/>
      </w:pPr>
      <w:r>
        <w:rPr>
          <w:u w:val="single"/>
        </w:rPr>
        <w:t xml:space="preserve">(3)</w:t>
      </w:r>
      <w:r>
        <w:rPr/>
        <w:t xml:space="preserve"> A tenant who sells a mobile home, manufactured home, or park model within a park shall notify the landlord in writing of the date of the intended sale and transfer of the rental agreement at least </w:t>
      </w:r>
      <w:r>
        <w:t>((</w:t>
      </w:r>
      <w:r>
        <w:rPr>
          <w:strike/>
        </w:rPr>
        <w:t xml:space="preserve">fifteen</w:t>
      </w:r>
      <w:r>
        <w:t>))</w:t>
      </w:r>
      <w:r>
        <w:rPr/>
        <w:t xml:space="preserve"> </w:t>
      </w:r>
      <w:r>
        <w:rPr>
          <w:u w:val="single"/>
        </w:rPr>
        <w:t xml:space="preserve">15</w:t>
      </w:r>
      <w:r>
        <w:rPr/>
        <w:t xml:space="preserve">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At least seven days in advance of such intended transfer, the landlord shall:</w:t>
      </w:r>
    </w:p>
    <w:p>
      <w:pPr>
        <w:spacing w:before="0" w:after="0" w:line="408" w:lineRule="exact"/>
        <w:ind w:left="0" w:right="0" w:firstLine="576"/>
        <w:jc w:val="left"/>
      </w:pPr>
      <w:r>
        <w:rPr/>
        <w:t xml:space="preserve">(a) Notify the selling tenant, in writing, of a refusal to permit transfer of the rental agreement; or</w:t>
      </w:r>
    </w:p>
    <w:p>
      <w:pPr>
        <w:spacing w:before="0" w:after="0" w:line="408" w:lineRule="exact"/>
        <w:ind w:left="0" w:right="0" w:firstLine="576"/>
        <w:jc w:val="left"/>
      </w:pPr>
      <w:r>
        <w:rPr/>
        <w:t xml:space="preserve">(b) If the landlord approves of the transfer, provide the buyer with copies of the written rental agreement, the rules and regulations, </w:t>
      </w:r>
      <w:r>
        <w:rPr>
          <w:u w:val="single"/>
        </w:rPr>
        <w:t xml:space="preserve">any closure notice as required in RCW 59.20.080, if such notice is in effect,</w:t>
      </w:r>
      <w:r>
        <w:rPr/>
        <w:t xml:space="preserve">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Failure to notify the landlord in writing, as required under subsection </w:t>
      </w:r>
      <w:r>
        <w:t>((</w:t>
      </w:r>
      <w:r>
        <w:rPr>
          <w:strike/>
        </w:rPr>
        <w:t xml:space="preserve">(2)</w:t>
      </w:r>
      <w:r>
        <w:t>))</w:t>
      </w:r>
      <w:r>
        <w:rPr/>
        <w:t xml:space="preserve"> </w:t>
      </w:r>
      <w:r>
        <w:rPr>
          <w:u w:val="single"/>
        </w:rPr>
        <w:t xml:space="preserve">(3)</w:t>
      </w:r>
      <w:r>
        <w:rPr/>
        <w:t xml:space="preserve">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2019 c 342 s 6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In accordance with RCW 59.20.045(6), substantial violation, or repeated or periodic violations, of an enforceable rule of the mobile home park as established by the landlord at the inception of or during the tenancy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twenty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fourteen</w:t>
      </w:r>
      <w:r>
        <w:t>))</w:t>
      </w:r>
      <w:r>
        <w:rPr/>
        <w:t xml:space="preserve"> </w:t>
      </w:r>
      <w:r>
        <w:rPr>
          <w:u w:val="single"/>
        </w:rPr>
        <w:t xml:space="preserve">14</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w:t>
      </w:r>
      <w:r>
        <w:t>((</w:t>
      </w:r>
      <w:r>
        <w:rPr>
          <w:strike/>
        </w:rPr>
        <w:t xml:space="preserve">fifteen</w:t>
      </w:r>
      <w:r>
        <w:t>))</w:t>
      </w:r>
      <w:r>
        <w:rPr/>
        <w:t xml:space="preserve"> </w:t>
      </w:r>
      <w:r>
        <w:rPr>
          <w:u w:val="single"/>
        </w:rPr>
        <w:t xml:space="preserve">15</w:t>
      </w:r>
      <w:r>
        <w:rPr/>
        <w:t xml:space="preserve">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closure of the mobile home park or conversion to a use other than for mobile homes, manufactured homes, or park models or conversion of the mobile home park to a mobile home park cooperative or mobile home park subdivision. The landlord shall give the tenants </w:t>
      </w:r>
      <w:r>
        <w:t>((</w:t>
      </w:r>
      <w:r>
        <w:rPr>
          <w:strike/>
        </w:rPr>
        <w:t xml:space="preserve">twelve months'</w:t>
      </w:r>
      <w:r>
        <w:t>))</w:t>
      </w:r>
      <w:r>
        <w:rPr/>
        <w:t xml:space="preserve"> </w:t>
      </w:r>
      <w:r>
        <w:rPr>
          <w:u w:val="single"/>
        </w:rPr>
        <w:t xml:space="preserve">three years'</w:t>
      </w:r>
      <w:r>
        <w:rPr/>
        <w:t xml:space="preserve"> notice</w:t>
      </w:r>
      <w:r>
        <w:rPr>
          <w:u w:val="single"/>
        </w:rPr>
        <w:t xml:space="preserve">, in the form of a closure notice meeting the requirements of RCW 59.21.030,</w:t>
      </w:r>
      <w:r>
        <w:rPr/>
        <w:t xml:space="preserve"> in advance of the effective date of such change. The </w:t>
      </w:r>
      <w:r>
        <w:rPr>
          <w:u w:val="single"/>
        </w:rPr>
        <w:t xml:space="preserve">three-year</w:t>
      </w:r>
      <w:r>
        <w:rPr/>
        <w:t xml:space="preserve"> closure notice requirement does not apply if:</w:t>
      </w:r>
    </w:p>
    <w:p>
      <w:pPr>
        <w:spacing w:before="0" w:after="0" w:line="408" w:lineRule="exact"/>
        <w:ind w:left="0" w:right="0" w:firstLine="576"/>
        <w:jc w:val="left"/>
      </w:pPr>
      <w:r>
        <w:rPr/>
        <w:t xml:space="preserve">(i) The mobile home park or manufactured housing community has been acquired for or is under imminent threat of condemnation; </w:t>
      </w:r>
      <w:r>
        <w:rPr>
          <w:u w:val="single"/>
        </w:rPr>
        <w:t xml:space="preserve">or</w:t>
      </w:r>
    </w:p>
    <w:p>
      <w:pPr>
        <w:spacing w:before="0" w:after="0" w:line="408" w:lineRule="exact"/>
        <w:ind w:left="0" w:right="0" w:firstLine="576"/>
        <w:jc w:val="left"/>
      </w:pPr>
      <w:r>
        <w:rPr/>
        <w:t xml:space="preserve">(ii) The mobile home park or manufactured housing community is sold to an organization comprised of park or community tenants, to a nonprofit organization, to a local government, or to a housing authority for the purpose of preserving the park or community</w:t>
      </w:r>
      <w:r>
        <w:t>((</w:t>
      </w:r>
      <w:r>
        <w:rPr>
          <w:strike/>
        </w:rPr>
        <w:t xml:space="preserve">; or</w:t>
      </w:r>
    </w:p>
    <w:p>
      <w:pPr>
        <w:spacing w:before="0" w:after="0" w:line="408" w:lineRule="exact"/>
        <w:ind w:left="0" w:right="0" w:firstLine="576"/>
        <w:jc w:val="left"/>
      </w:pPr>
      <w:r>
        <w:rPr>
          <w:strike/>
        </w:rPr>
        <w:t xml:space="preserve">(iii) The landlord compensates the tenants for the loss of their homes at their assessed value, as determined by the county assessor as of the date the closure notice is issued, at any point during the closure notice period and prior to a change of use or sale of the property. At such time as the compensation is paid, the tenant shall be given written notice of at least ninety days in which to vacate, and the tenant shall continue to pay rent for as much time as he or she remains in the mobile home park or manufactured housing community</w:t>
      </w:r>
      <w:r>
        <w:t>))</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twenty-day</w:t>
      </w:r>
      <w:r>
        <w:t>))</w:t>
      </w:r>
      <w:r>
        <w:rPr/>
        <w:t xml:space="preserve"> </w:t>
      </w:r>
      <w:r>
        <w:rPr>
          <w:u w:val="single"/>
        </w:rPr>
        <w:t xml:space="preserve">20-day</w:t>
      </w:r>
      <w:r>
        <w:rPr/>
        <w:t xml:space="preserve"> notices, each of which was valid under (a) of this subsection at the time of service, within a </w:t>
      </w:r>
      <w:r>
        <w:t>((</w:t>
      </w:r>
      <w:r>
        <w:rPr>
          <w:strike/>
        </w:rPr>
        <w:t xml:space="preserve">twelve-month</w:t>
      </w:r>
      <w:r>
        <w:t>))</w:t>
      </w:r>
      <w:r>
        <w:rPr/>
        <w:t xml:space="preserve"> </w:t>
      </w:r>
      <w:r>
        <w:rPr>
          <w:u w:val="single"/>
        </w:rPr>
        <w:t xml:space="preserve">12-month</w:t>
      </w:r>
      <w:r>
        <w:rPr/>
        <w:t xml:space="preserve"> period to comply or vacate for failure to comply with the material terms of the rental agreement or an enforceable park rule, other than failure to pay rent by the due date. The applicable </w:t>
      </w:r>
      <w:r>
        <w:t>((</w:t>
      </w:r>
      <w:r>
        <w:rPr>
          <w:strike/>
        </w:rPr>
        <w:t xml:space="preserve">twelve-month</w:t>
      </w:r>
      <w:r>
        <w:t>))</w:t>
      </w:r>
      <w:r>
        <w:rPr/>
        <w:t xml:space="preserve"> </w:t>
      </w:r>
      <w:r>
        <w:rPr>
          <w:u w:val="single"/>
        </w:rPr>
        <w:t xml:space="preserve">12-month</w:t>
      </w:r>
      <w:r>
        <w:rPr/>
        <w:t xml:space="preserve">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w:t>
      </w:r>
      <w:r>
        <w:t>((</w:t>
      </w:r>
      <w:r>
        <w:rPr>
          <w:strike/>
        </w:rPr>
        <w:t xml:space="preserve">fifteen</w:t>
      </w:r>
      <w:r>
        <w:t>))</w:t>
      </w:r>
      <w:r>
        <w:rPr/>
        <w:t xml:space="preserve"> </w:t>
      </w:r>
      <w:r>
        <w:rPr>
          <w:u w:val="single"/>
        </w:rPr>
        <w:t xml:space="preserve">15</w:t>
      </w:r>
      <w:r>
        <w:rPr/>
        <w:t xml:space="preserve"> days; or</w:t>
      </w:r>
    </w:p>
    <w:p>
      <w:pPr>
        <w:spacing w:before="0" w:after="0" w:line="408" w:lineRule="exact"/>
        <w:ind w:left="0" w:right="0" w:firstLine="576"/>
        <w:jc w:val="left"/>
      </w:pPr>
      <w:r>
        <w:rPr/>
        <w:t xml:space="preserve">(m) Failure to pay rent by the due date provided for in the rental agreement three or more times in a </w:t>
      </w:r>
      <w:r>
        <w:t>((</w:t>
      </w:r>
      <w:r>
        <w:rPr>
          <w:strike/>
        </w:rPr>
        <w:t xml:space="preserve">twelve-month</w:t>
      </w:r>
      <w:r>
        <w:t>))</w:t>
      </w:r>
      <w:r>
        <w:rPr/>
        <w:t xml:space="preserve"> </w:t>
      </w:r>
      <w:r>
        <w:rPr>
          <w:u w:val="single"/>
        </w:rPr>
        <w:t xml:space="preserve">12-month</w:t>
      </w:r>
      <w:r>
        <w:rPr/>
        <w:t xml:space="preserve"> period, commencing with the date of the first violation, after service of a </w:t>
      </w:r>
      <w:r>
        <w:t>((</w:t>
      </w:r>
      <w:r>
        <w:rPr>
          <w:strike/>
        </w:rPr>
        <w:t xml:space="preserve">fourteen-day</w:t>
      </w:r>
      <w:r>
        <w:t>))</w:t>
      </w:r>
      <w:r>
        <w:rPr/>
        <w:t xml:space="preserve"> </w:t>
      </w:r>
      <w:r>
        <w:rPr>
          <w:u w:val="single"/>
        </w:rPr>
        <w:t xml:space="preserve">14-day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Except for a tenant evicted under subsection (1)(c) or (f) of this section, a tenant evicted from a mobile home park under this section shall be allowed </w:t>
      </w:r>
      <w:r>
        <w:t>((</w:t>
      </w:r>
      <w:r>
        <w:rPr>
          <w:strike/>
        </w:rPr>
        <w:t xml:space="preserve">one hundred twenty</w:t>
      </w:r>
      <w:r>
        <w:t>))</w:t>
      </w:r>
      <w:r>
        <w:rPr/>
        <w:t xml:space="preserve"> </w:t>
      </w:r>
      <w:r>
        <w:rPr>
          <w:u w:val="single"/>
        </w:rPr>
        <w:t xml:space="preserve">120</w:t>
      </w:r>
      <w:r>
        <w:rPr/>
        <w:t xml:space="preserve">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t xml:space="preserve">(4)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2019 c 342 s 10 are each amended to read as follows:</w:t>
      </w:r>
    </w:p>
    <w:p>
      <w:pPr>
        <w:spacing w:before="0" w:after="0" w:line="408" w:lineRule="exact"/>
        <w:ind w:left="0" w:right="0" w:firstLine="576"/>
        <w:jc w:val="left"/>
      </w:pPr>
      <w:r>
        <w:rPr/>
        <w:t xml:space="preserve">(1) The closure notice required by RCW 59.20.080 before park closure or conversion of the park shall be given to the director and all tenants in writing, and conspicuously posted at all park entrances.</w:t>
      </w:r>
    </w:p>
    <w:p>
      <w:pPr>
        <w:spacing w:before="0" w:after="0" w:line="408" w:lineRule="exact"/>
        <w:ind w:left="0" w:right="0" w:firstLine="576"/>
        <w:jc w:val="left"/>
      </w:pPr>
      <w:r>
        <w:rPr/>
        <w:t xml:space="preserve">(2) The closure notice required under RCW 59.20.080 must be in substantially the following form:</w:t>
      </w:r>
    </w:p>
    <w:p>
      <w:pPr>
        <w:spacing w:before="0" w:after="0" w:line="408" w:lineRule="exact"/>
        <w:ind w:left="0" w:right="0" w:firstLine="0"/>
        <w:jc w:val="center"/>
      </w:pPr>
      <w:r>
        <w:rPr/>
        <w:t xml:space="preserve">"CLOSURE NOTICE TO TENANTS</w:t>
      </w:r>
    </w:p>
    <w:p>
      <w:pPr>
        <w:spacing w:before="0" w:after="0" w:line="408" w:lineRule="exact"/>
        <w:ind w:left="0" w:right="0" w:firstLine="576"/>
        <w:jc w:val="left"/>
      </w:pPr>
      <w:r>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w:t>
      </w:r>
      <w:r>
        <w:t>((</w:t>
      </w:r>
      <w:r>
        <w:rPr>
          <w:strike/>
        </w:rPr>
        <w:t xml:space="preserve">twelve months</w:t>
      </w:r>
      <w:r>
        <w:t>))</w:t>
      </w:r>
      <w:r>
        <w:rPr/>
        <w:t xml:space="preserve"> </w:t>
      </w:r>
      <w:r>
        <w:rPr>
          <w:u w:val="single"/>
        </w:rPr>
        <w:t xml:space="preserve">three years</w:t>
      </w:r>
      <w:r>
        <w:rPr/>
        <w:t xml:space="preserve"> after the date this closure notice is given.</w:t>
      </w:r>
    </w:p>
    <w:p>
      <w:pPr>
        <w:spacing w:before="0" w:after="0" w:line="408" w:lineRule="exact"/>
        <w:ind w:left="0" w:right="0" w:firstLine="0"/>
        <w:jc w:val="left"/>
      </w:pPr>
      <w:r>
        <w:rPr/>
        <w:t xml:space="preserve">PARK OR COMMUNITY MANAGEMENT OR OWNERSHIP INFORMATION:</w:t>
      </w:r>
    </w:p>
    <w:p>
      <w:pPr>
        <w:spacing w:before="0" w:after="0" w:line="408" w:lineRule="exact"/>
        <w:ind w:left="0" w:right="0" w:firstLine="576"/>
        <w:jc w:val="left"/>
      </w:pPr>
      <w:r>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PURCHASER INFORMATION, if applicable:</w:t>
      </w:r>
    </w:p>
    <w:p>
      <w:pPr>
        <w:spacing w:before="0" w:after="0" w:line="408" w:lineRule="exact"/>
        <w:ind w:left="0" w:right="0" w:firstLine="576"/>
        <w:jc w:val="left"/>
      </w:pPr>
      <w:r>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t xml:space="preserve">Name:</w:t>
      </w:r>
    </w:p>
    <w:p>
      <w:pPr>
        <w:spacing w:before="0" w:after="0" w:line="408" w:lineRule="exact"/>
        <w:ind w:left="0" w:right="0" w:firstLine="0"/>
        <w:jc w:val="left"/>
      </w:pPr>
      <w:r>
        <w:rPr/>
        <w:t xml:space="preserve">Address:</w:t>
      </w:r>
    </w:p>
    <w:p>
      <w:pPr>
        <w:spacing w:before="0" w:after="0" w:line="408" w:lineRule="exact"/>
        <w:ind w:left="0" w:right="0" w:firstLine="0"/>
        <w:jc w:val="left"/>
      </w:pPr>
      <w:r>
        <w:rPr/>
        <w:t xml:space="preserve">Telephone:</w:t>
      </w:r>
    </w:p>
    <w:p>
      <w:pPr>
        <w:spacing w:before="0" w:after="0" w:line="408" w:lineRule="exact"/>
        <w:ind w:left="0" w:right="0" w:firstLine="0"/>
        <w:jc w:val="left"/>
      </w:pPr>
      <w:r>
        <w:rPr/>
        <w:t xml:space="preserve">PARK PURCHASE BY TENANT ORGANIZATIONS, if applicable:</w:t>
      </w:r>
    </w:p>
    <w:p>
      <w:pPr>
        <w:spacing w:before="0" w:after="0" w:line="408" w:lineRule="exact"/>
        <w:ind w:left="0" w:right="0" w:firstLine="576"/>
        <w:jc w:val="left"/>
      </w:pPr>
      <w:r>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t xml:space="preserve">RELOCATION ASSISTANCE RESOURCES:</w:t>
      </w:r>
    </w:p>
    <w:p>
      <w:pPr>
        <w:spacing w:before="0" w:after="0" w:line="408" w:lineRule="exact"/>
        <w:ind w:left="0" w:right="0" w:firstLine="576"/>
        <w:jc w:val="left"/>
      </w:pPr>
      <w:r>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t xml:space="preserve">(3) The closure notice required by RCW 59.20.080 must also meet the following requirements:</w:t>
      </w:r>
    </w:p>
    <w:p>
      <w:pPr>
        <w:spacing w:before="0" w:after="0" w:line="408" w:lineRule="exact"/>
        <w:ind w:left="0" w:right="0" w:firstLine="576"/>
        <w:jc w:val="left"/>
      </w:pPr>
      <w:r>
        <w:rPr/>
        <w:t xml:space="preserve">(a) A copy of the closure notice must be provided with all rental agreements signed after the original park closure notice date as required under RCW 59.20.060;</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w:t>
      </w:r>
      <w:r>
        <w:t>((</w:t>
      </w:r>
      <w:r>
        <w:rPr>
          <w:strike/>
        </w:rPr>
        <w:t xml:space="preserve">ten</w:t>
      </w:r>
      <w:r>
        <w:t>))</w:t>
      </w:r>
      <w:r>
        <w:rPr/>
        <w:t xml:space="preserve"> </w:t>
      </w:r>
      <w:r>
        <w:rPr>
          <w:u w:val="single"/>
        </w:rPr>
        <w:t xml:space="preserve">10</w:t>
      </w:r>
      <w:r>
        <w:rPr/>
        <w:t xml:space="preserve">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rPr/>
        <w:t xml:space="preserve">(4) The department must mail every tenant an application and information on relocation assistance within </w:t>
      </w:r>
      <w:r>
        <w:t>((</w:t>
      </w:r>
      <w:r>
        <w:rPr>
          <w:strike/>
        </w:rPr>
        <w:t xml:space="preserve">ten</w:t>
      </w:r>
      <w:r>
        <w:t>))</w:t>
      </w:r>
      <w:r>
        <w:rPr/>
        <w:t xml:space="preserve"> </w:t>
      </w:r>
      <w:r>
        <w:rPr>
          <w:u w:val="single"/>
        </w:rPr>
        <w:t xml:space="preserve">10</w:t>
      </w:r>
      <w:r>
        <w:rPr/>
        <w:t xml:space="preserve"> business days of receipt of the notice required in subsection (1) of this section.</w:t>
      </w:r>
    </w:p>
    <w:p/>
    <w:p>
      <w:pPr>
        <w:jc w:val="center"/>
      </w:pPr>
      <w:r>
        <w:rPr>
          <w:b/>
        </w:rPr>
        <w:t>--- END ---</w:t>
      </w:r>
    </w:p>
    <w:sectPr>
      <w:pgNumType w:start="1"/>
      <w:footerReference xmlns:r="http://schemas.openxmlformats.org/officeDocument/2006/relationships" r:id="R6c51b24a42e24cf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5079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c35b938e654d2c" /><Relationship Type="http://schemas.openxmlformats.org/officeDocument/2006/relationships/footer" Target="/word/footer1.xml" Id="R6c51b24a42e24cf5" /></Relationships>
</file>