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47b58c08d4b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Padden, Frockt, Conway, McCune, and Short</w:t>
      </w:r>
    </w:p>
    <w:p/>
    <w:p>
      <w:r>
        <w:rPr>
          <w:t xml:space="preserve">Prefiled 12/31/20.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9.94A.190, 9.94A.501, 9.94A.505, 9.94A.525, 9.94A.633, 9.94A.6332, 9.94A.660, 9.94A.701, 46.61.502, 46.61.5055, and 46.61.504; reenacting and amending RCW 9.94A.030; adding a new section to chapter 9.94A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marijuana,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26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24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24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(iii)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30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licensed or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12 months work release followed by 12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$30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30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50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2021 c 237 s 1 and 2021 c 215 s 97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(62)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w:t>
      </w:r>
      <w:r>
        <w:t>((</w:t>
      </w:r>
      <w:r>
        <w:rPr>
          <w:strike/>
        </w:rPr>
        <w:t xml:space="preserve">or</w:t>
      </w:r>
      <w:r>
        <w:t>))</w:t>
      </w:r>
      <w:r>
        <w:rPr/>
        <w:t xml:space="preserve"> 9.94A.695</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9.94A.695, relating to the mental health sentencing alternative;</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9.94A.507, relating to certain sex offenses;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9.94A.535, relating to exceptional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9.94A.589, relating to consecutive and concurrent sentences;</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sixty days' confinement for each violation or by the department with up to thirty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under the mental health sentencing alternative set out in RCW 9.94A.695, the offender may be sanctioned in accordance with that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w:t>
      </w:r>
      <w:r>
        <w:rPr>
          <w:u w:val="single"/>
        </w:rPr>
        <w:t xml:space="preserve">licensed or</w:t>
      </w:r>
      <w:r>
        <w:rPr/>
        <w:t xml:space="preserve">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t>
      </w:r>
      <w:r>
        <w:t>((</w:t>
      </w:r>
      <w:r>
        <w:rPr>
          <w:strike/>
        </w:rPr>
        <w:t xml:space="preserve">Whether the substance use disorder is such that there is a probability that criminal behavior will occur in the future;</w:t>
      </w:r>
    </w:p>
    <w:p>
      <w:pPr>
        <w:spacing w:before="0" w:after="0" w:line="408" w:lineRule="exact"/>
        <w:ind w:left="0" w:right="0" w:firstLine="576"/>
        <w:jc w:val="left"/>
      </w:pPr>
      <w:r>
        <w:rPr>
          <w:strike/>
        </w:rPr>
        <w:t xml:space="preserve">(c)</w:t>
      </w:r>
      <w:r>
        <w:t>))</w:t>
      </w:r>
      <w:r>
        <w:rPr/>
        <w:t xml:space="preserve">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r>
        <w:rPr>
          <w:u w:val="single"/>
        </w:rPr>
        <w:t xml:space="preserve">:</w:t>
      </w:r>
    </w:p>
    <w:p>
      <w:pPr>
        <w:spacing w:before="0" w:after="0" w:line="408" w:lineRule="exact"/>
        <w:ind w:left="0" w:right="0" w:firstLine="576"/>
        <w:jc w:val="left"/>
      </w:pPr>
      <w:r>
        <w:rPr>
          <w:u w:val="single"/>
        </w:rPr>
        <w:t xml:space="preserve">(a)</w:t>
      </w:r>
      <w:r>
        <w:rPr/>
        <w:t xml:space="preserve"> RCW 9.94A.660 </w:t>
      </w:r>
      <w:r>
        <w:rPr>
          <w:u w:val="single"/>
        </w:rPr>
        <w:t xml:space="preserve">and 9.94A.662 for a prison-based drug offender sentencing alternative;</w:t>
      </w:r>
    </w:p>
    <w:p>
      <w:pPr>
        <w:spacing w:before="0" w:after="0" w:line="408" w:lineRule="exact"/>
        <w:ind w:left="0" w:right="0" w:firstLine="576"/>
        <w:jc w:val="left"/>
      </w:pPr>
      <w:r>
        <w:rPr>
          <w:u w:val="single"/>
        </w:rPr>
        <w:t xml:space="preserve">(b) RCW 9.94A.660 and 9.94A.664 for a residential-based drug offender sentencing alternative;</w:t>
      </w:r>
    </w:p>
    <w:p>
      <w:pPr>
        <w:spacing w:before="0" w:after="0" w:line="408" w:lineRule="exact"/>
        <w:ind w:left="0" w:right="0" w:firstLine="576"/>
        <w:jc w:val="left"/>
      </w:pPr>
      <w:r>
        <w:rPr>
          <w:u w:val="single"/>
        </w:rPr>
        <w:t xml:space="preserve">(c) RCW 9.94A.662 and section 1(6) of this act for a prison-based drug offender sentencing alternative for driving under the influence; and</w:t>
      </w:r>
    </w:p>
    <w:p>
      <w:pPr>
        <w:spacing w:before="0" w:after="0" w:line="408" w:lineRule="exact"/>
        <w:ind w:left="0" w:right="0" w:firstLine="576"/>
        <w:jc w:val="left"/>
      </w:pPr>
      <w:r>
        <w:rPr>
          <w:u w:val="single"/>
        </w:rPr>
        <w:t xml:space="preserve">(d) Section 1 (5) and (6) of this act for a residential-based drug offender sentencing alternative for driving under the influence</w:t>
      </w:r>
      <w:r>
        <w:rPr/>
        <w:t xml:space="preserv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twenty-four consecutive hours nor more than three hundred sixty-four days. In lieu of the mandatory minimum term of imprisonment required under this subsection (1)(a)(i), the court, in its discretion,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forty-eight consecutive hours nor more than three hundred sixty-four days. In lieu of the mandatory minimum term of imprisonment required under this subsection (1)(b)(i), the court, in its discretion,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Thirty days of imprisonment and sixty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one hundred eighty days of electronic home monitoring or a one hundred twenty-day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Forty-five days of imprisonment and ninety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one hundred twenty-day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Ninety days of imprisonment and one hundred twenty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ninety days of imprisonment and one hundred twenty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One hundred twenty days of imprisonment and one hundred fifty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one hundred twenty days of imprisonment and one hundred fifty days of electronic home monitoring, the court may order 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sixteen were in the vehicle, the court shall:</w:t>
      </w:r>
    </w:p>
    <w:p>
      <w:pPr>
        <w:spacing w:before="0" w:after="0" w:line="408" w:lineRule="exact"/>
        <w:ind w:left="0" w:right="0" w:firstLine="576"/>
        <w:jc w:val="left"/>
      </w:pPr>
      <w:r>
        <w:rPr/>
        <w:t xml:space="preserve">(a) Order the use of an ignition interlock or other device for an additional twelve months 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to be served consecutively for each passenger under the age of sixteen, and a fine of not less than one thousand dollars and not more than five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sixteen, and a fine of not less than two thousand dollars and not more than five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sixteen, and a fine of not less than three thousand dollars and not more than ten thousand dollars for each passenger under the age of sixteen. One thousand dollars of the fine for each passenger under the age of sixteen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ninety days or until the person is evaluated by a substance use disorder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nine hundred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take effect July 1, 2022.</w:t>
      </w:r>
    </w:p>
    <w:p/>
    <w:p>
      <w:pPr>
        <w:jc w:val="center"/>
      </w:pPr>
      <w:r>
        <w:rPr>
          <w:b/>
        </w:rPr>
        <w:t>--- END ---</w:t>
      </w:r>
    </w:p>
    <w:sectPr>
      <w:pgNumType w:start="1"/>
      <w:footerReference xmlns:r="http://schemas.openxmlformats.org/officeDocument/2006/relationships" r:id="R5cdddfe0da2147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f4a348cc84337" /><Relationship Type="http://schemas.openxmlformats.org/officeDocument/2006/relationships/footer" Target="/word/footer1.xml" Id="R5cdddfe0da2147c1" /></Relationships>
</file>